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6A" w:rsidRDefault="00C34ADD" w:rsidP="00C34ADD">
      <w:pPr>
        <w:jc w:val="center"/>
      </w:pPr>
      <w:r>
        <w:rPr>
          <w:b/>
        </w:rPr>
        <w:t>HC 128-2c  The Ethics of Medicine</w:t>
      </w:r>
    </w:p>
    <w:p w:rsidR="00C34ADD" w:rsidRDefault="00C34ADD" w:rsidP="00C34ADD"/>
    <w:p w:rsidR="003E1883" w:rsidRPr="003E1883" w:rsidRDefault="003E1883" w:rsidP="003E1883">
      <w:pPr>
        <w:rPr>
          <w:rFonts w:cs="Times New Roman"/>
          <w:szCs w:val="24"/>
        </w:rPr>
      </w:pPr>
      <w:r w:rsidRPr="003E1883">
        <w:rPr>
          <w:rFonts w:cs="Times New Roman"/>
          <w:b/>
          <w:szCs w:val="24"/>
        </w:rPr>
        <w:t xml:space="preserve">Course Number: </w:t>
      </w:r>
      <w:r w:rsidRPr="003E1883">
        <w:rPr>
          <w:rFonts w:cs="Times New Roman"/>
          <w:b/>
          <w:szCs w:val="24"/>
        </w:rPr>
        <w:tab/>
      </w:r>
      <w:r w:rsidRPr="003E1883">
        <w:rPr>
          <w:rFonts w:cs="Times New Roman"/>
          <w:szCs w:val="24"/>
        </w:rPr>
        <w:t>HC128-2C</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Credit Hours:</w:t>
      </w:r>
      <w:r w:rsidRPr="003E1883">
        <w:rPr>
          <w:rFonts w:cs="Times New Roman"/>
          <w:b/>
          <w:szCs w:val="24"/>
        </w:rPr>
        <w:tab/>
      </w:r>
      <w:r w:rsidRPr="003E1883">
        <w:rPr>
          <w:rFonts w:cs="Times New Roman"/>
          <w:szCs w:val="24"/>
        </w:rPr>
        <w:t>3 units</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Instructor:</w:t>
      </w:r>
      <w:r w:rsidRPr="003E1883">
        <w:rPr>
          <w:rFonts w:cs="Times New Roman"/>
          <w:b/>
          <w:szCs w:val="24"/>
        </w:rPr>
        <w:tab/>
      </w:r>
      <w:r w:rsidRPr="003E1883">
        <w:rPr>
          <w:rFonts w:cs="Times New Roman"/>
          <w:b/>
          <w:szCs w:val="24"/>
        </w:rPr>
        <w:tab/>
      </w:r>
      <w:r w:rsidRPr="003E1883">
        <w:rPr>
          <w:rFonts w:cs="Times New Roman"/>
          <w:szCs w:val="24"/>
        </w:rPr>
        <w:t>Thomas Huddle MD PhD</w:t>
      </w:r>
    </w:p>
    <w:p w:rsidR="003E1883" w:rsidRPr="003E1883" w:rsidRDefault="003E1883" w:rsidP="003E1883">
      <w:pPr>
        <w:rPr>
          <w:rFonts w:cs="Times New Roman"/>
          <w:szCs w:val="24"/>
        </w:rPr>
      </w:pPr>
      <w:r w:rsidRPr="003E1883">
        <w:rPr>
          <w:rFonts w:cs="Times New Roman"/>
          <w:szCs w:val="24"/>
        </w:rPr>
        <w:tab/>
      </w:r>
      <w:r w:rsidRPr="003E1883">
        <w:rPr>
          <w:rFonts w:cs="Times New Roman"/>
          <w:szCs w:val="24"/>
        </w:rPr>
        <w:tab/>
      </w:r>
      <w:r w:rsidRPr="003E1883">
        <w:rPr>
          <w:rFonts w:cs="Times New Roman"/>
          <w:szCs w:val="24"/>
        </w:rPr>
        <w:tab/>
        <w:t>Professor Emeritus, UABSOM Department of Medicine</w:t>
      </w:r>
    </w:p>
    <w:p w:rsidR="003E1883" w:rsidRPr="003E1883" w:rsidRDefault="003E1883" w:rsidP="003E1883">
      <w:pPr>
        <w:rPr>
          <w:rFonts w:cs="Times New Roman"/>
          <w:szCs w:val="24"/>
        </w:rPr>
      </w:pPr>
      <w:r w:rsidRPr="003E1883">
        <w:rPr>
          <w:rFonts w:cs="Times New Roman"/>
          <w:szCs w:val="24"/>
        </w:rPr>
        <w:tab/>
      </w:r>
      <w:r w:rsidRPr="003E1883">
        <w:rPr>
          <w:rFonts w:cs="Times New Roman"/>
          <w:szCs w:val="24"/>
        </w:rPr>
        <w:tab/>
      </w:r>
      <w:r w:rsidRPr="003E1883">
        <w:rPr>
          <w:rFonts w:cs="Times New Roman"/>
          <w:szCs w:val="24"/>
        </w:rPr>
        <w:tab/>
        <w:t>Office location: TBD</w:t>
      </w:r>
      <w:r w:rsidR="00EC24AF">
        <w:rPr>
          <w:rFonts w:cs="Times New Roman"/>
          <w:szCs w:val="24"/>
        </w:rPr>
        <w:t xml:space="preserve"> </w:t>
      </w:r>
    </w:p>
    <w:p w:rsidR="003E1883" w:rsidRPr="00C1288B" w:rsidRDefault="003E1883" w:rsidP="003E1883">
      <w:pPr>
        <w:rPr>
          <w:rFonts w:cs="Times New Roman"/>
          <w:szCs w:val="24"/>
        </w:rPr>
      </w:pPr>
      <w:r w:rsidRPr="003E1883">
        <w:rPr>
          <w:rFonts w:cs="Times New Roman"/>
          <w:szCs w:val="24"/>
        </w:rPr>
        <w:tab/>
      </w:r>
      <w:r w:rsidRPr="003E1883">
        <w:rPr>
          <w:rFonts w:cs="Times New Roman"/>
          <w:szCs w:val="24"/>
        </w:rPr>
        <w:tab/>
      </w:r>
      <w:r w:rsidRPr="003E1883">
        <w:rPr>
          <w:rFonts w:cs="Times New Roman"/>
          <w:szCs w:val="24"/>
        </w:rPr>
        <w:tab/>
        <w:t xml:space="preserve">Email: </w:t>
      </w:r>
      <w:hyperlink r:id="rId6" w:history="1">
        <w:r w:rsidRPr="003E1883">
          <w:rPr>
            <w:rFonts w:cs="Times New Roman"/>
            <w:color w:val="0000FF" w:themeColor="hyperlink"/>
            <w:szCs w:val="24"/>
            <w:u w:val="single"/>
          </w:rPr>
          <w:t>thuddle@uabmc.edu</w:t>
        </w:r>
      </w:hyperlink>
    </w:p>
    <w:p w:rsidR="003E1883" w:rsidRPr="003E1883" w:rsidRDefault="003E1883" w:rsidP="003E1883">
      <w:pPr>
        <w:rPr>
          <w:rFonts w:cs="Times New Roman"/>
          <w:szCs w:val="24"/>
        </w:rPr>
      </w:pPr>
      <w:r w:rsidRPr="003E1883">
        <w:rPr>
          <w:rFonts w:cs="Times New Roman"/>
          <w:szCs w:val="24"/>
        </w:rPr>
        <w:tab/>
      </w:r>
      <w:r w:rsidRPr="003E1883">
        <w:rPr>
          <w:rFonts w:cs="Times New Roman"/>
          <w:szCs w:val="24"/>
        </w:rPr>
        <w:tab/>
      </w:r>
      <w:r w:rsidRPr="003E1883">
        <w:rPr>
          <w:rFonts w:cs="Times New Roman"/>
          <w:szCs w:val="24"/>
        </w:rPr>
        <w:tab/>
        <w:t>Office hours: by arrangement</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Class Day/Time:</w:t>
      </w:r>
      <w:r w:rsidRPr="003E1883">
        <w:rPr>
          <w:rFonts w:cs="Times New Roman"/>
          <w:szCs w:val="24"/>
        </w:rPr>
        <w:tab/>
        <w:t>Tuesdays and Thursdays 11am-1215pm</w:t>
      </w:r>
    </w:p>
    <w:p w:rsidR="003E1883" w:rsidRPr="003E1883" w:rsidRDefault="003E1883" w:rsidP="003E1883">
      <w:pPr>
        <w:rPr>
          <w:rFonts w:cs="Times New Roman"/>
          <w:szCs w:val="24"/>
        </w:rPr>
      </w:pPr>
      <w:r w:rsidRPr="003E1883">
        <w:rPr>
          <w:rFonts w:cs="Times New Roman"/>
          <w:b/>
          <w:szCs w:val="24"/>
        </w:rPr>
        <w:t>Class Location:</w:t>
      </w:r>
      <w:r w:rsidRPr="003E1883">
        <w:rPr>
          <w:rFonts w:cs="Times New Roman"/>
          <w:b/>
          <w:szCs w:val="24"/>
        </w:rPr>
        <w:tab/>
      </w:r>
      <w:r w:rsidRPr="003E1883">
        <w:rPr>
          <w:rFonts w:cs="Times New Roman"/>
          <w:szCs w:val="24"/>
        </w:rPr>
        <w:t>UABHH 225</w:t>
      </w:r>
    </w:p>
    <w:p w:rsidR="003E1883" w:rsidRPr="003E1883" w:rsidRDefault="003E1883" w:rsidP="003E1883">
      <w:pPr>
        <w:rPr>
          <w:rFonts w:cs="Times New Roman"/>
          <w:b/>
          <w:szCs w:val="24"/>
        </w:rPr>
      </w:pPr>
    </w:p>
    <w:p w:rsidR="003E1883" w:rsidRPr="003E1883" w:rsidRDefault="003E1883" w:rsidP="003E1883">
      <w:pPr>
        <w:rPr>
          <w:rFonts w:cs="Times New Roman"/>
          <w:szCs w:val="24"/>
        </w:rPr>
      </w:pPr>
      <w:r w:rsidRPr="003E1883">
        <w:rPr>
          <w:rFonts w:cs="Times New Roman"/>
          <w:b/>
          <w:szCs w:val="24"/>
        </w:rPr>
        <w:t>Texts:</w:t>
      </w:r>
      <w:r w:rsidRPr="003E1883">
        <w:rPr>
          <w:rFonts w:cs="Times New Roman"/>
          <w:b/>
          <w:szCs w:val="24"/>
        </w:rPr>
        <w:tab/>
      </w:r>
      <w:r w:rsidRPr="003E1883">
        <w:rPr>
          <w:rFonts w:cs="Times New Roman"/>
          <w:szCs w:val="24"/>
        </w:rPr>
        <w:tab/>
      </w:r>
      <w:r w:rsidRPr="003E1883">
        <w:rPr>
          <w:rFonts w:cs="Times New Roman"/>
          <w:szCs w:val="24"/>
        </w:rPr>
        <w:tab/>
        <w:t>Readings posted on Canvas</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 xml:space="preserve">Instructional Method: </w:t>
      </w:r>
      <w:r w:rsidRPr="003E1883">
        <w:rPr>
          <w:rFonts w:cs="Times New Roman"/>
          <w:szCs w:val="24"/>
        </w:rPr>
        <w:t xml:space="preserve">Face to face; in person, on campus.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 xml:space="preserve">Course Description: </w:t>
      </w:r>
    </w:p>
    <w:p w:rsidR="003E1883" w:rsidRPr="003E1883" w:rsidRDefault="003E1883" w:rsidP="003E1883">
      <w:pPr>
        <w:rPr>
          <w:rFonts w:cs="Times New Roman"/>
          <w:szCs w:val="24"/>
        </w:rPr>
      </w:pPr>
    </w:p>
    <w:p w:rsidR="003E1883" w:rsidRPr="003E1883" w:rsidRDefault="003E1883" w:rsidP="003E1883">
      <w:r w:rsidRPr="003E1883">
        <w:t xml:space="preserve">As with other kinds of relationship, the doctor-patient relationship is governed by ethical standards for how we treat one another.  These standards relate to those governing other parts of our lives, but are not always just the same.  Medicine poses issues that are unique to the medical setting, including concerns with the beginning and end of life and adjustments required by the inequality of the doctor patient relationship.  Medical ethics is therefore somewhat specific to medicine.  Medicine is, of course, situated in society and must negotiate its place in society as well as what society may require of it.  The ethics of medical relations with society poses issues both related to and separate from doctor-patient relations.  After introductory sessions on the nature of morality and ethics, the course will explore these two aspects of the ethics of medicine, that of the doctor-patient relationship and that of the relation of the medical profession to society.  </w:t>
      </w:r>
    </w:p>
    <w:p w:rsidR="003E1883" w:rsidRPr="003E1883" w:rsidRDefault="003E1883" w:rsidP="003E1883">
      <w:pPr>
        <w:rPr>
          <w:rFonts w:cs="Times New Roman"/>
          <w:szCs w:val="24"/>
        </w:rPr>
      </w:pPr>
    </w:p>
    <w:p w:rsidR="003E1883" w:rsidRPr="003E1883" w:rsidRDefault="003E1883" w:rsidP="003E1883">
      <w:pPr>
        <w:rPr>
          <w:rFonts w:cs="Times New Roman"/>
          <w:b/>
          <w:szCs w:val="24"/>
        </w:rPr>
      </w:pPr>
      <w:r w:rsidRPr="003E1883">
        <w:rPr>
          <w:rFonts w:cs="Times New Roman"/>
          <w:b/>
          <w:szCs w:val="24"/>
        </w:rPr>
        <w:t xml:space="preserve">Course Objectives: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szCs w:val="24"/>
        </w:rPr>
        <w:t xml:space="preserve">By the completion of the course, students will be expected to: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szCs w:val="24"/>
        </w:rPr>
        <w:tab/>
        <w:t>1) Have further developed written and verbal skills important for understanding and responding to ethical argument and to formulating reasoned ethical views</w:t>
      </w:r>
    </w:p>
    <w:p w:rsidR="003E1883" w:rsidRPr="003E1883" w:rsidRDefault="003E1883" w:rsidP="003E1883">
      <w:pPr>
        <w:rPr>
          <w:rFonts w:cs="Times New Roman"/>
          <w:szCs w:val="24"/>
        </w:rPr>
      </w:pPr>
      <w:r w:rsidRPr="003E1883">
        <w:rPr>
          <w:rFonts w:cs="Times New Roman"/>
          <w:szCs w:val="24"/>
        </w:rPr>
        <w:tab/>
        <w:t xml:space="preserve">2) Have further developed skills of constructively agreeing and disagreeing with peers and the instructor through making ethical arguments in discussion and in writing.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szCs w:val="24"/>
        </w:rPr>
        <w:t xml:space="preserve">These skills will be honed through readings, discussion, written exams, and debate about the topics to be covered in the course, through which students will gain a: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szCs w:val="24"/>
        </w:rPr>
        <w:tab/>
        <w:t>3) Grasp of some of the major approaches to thinking about ethics and morality</w:t>
      </w:r>
    </w:p>
    <w:p w:rsidR="003E1883" w:rsidRPr="003E1883" w:rsidRDefault="003E1883" w:rsidP="003E1883">
      <w:pPr>
        <w:rPr>
          <w:rFonts w:cs="Times New Roman"/>
          <w:szCs w:val="24"/>
        </w:rPr>
      </w:pPr>
      <w:r w:rsidRPr="003E1883">
        <w:rPr>
          <w:rFonts w:cs="Times New Roman"/>
          <w:szCs w:val="24"/>
        </w:rPr>
        <w:tab/>
        <w:t>4) Grasp of some of the differing ways of conceiving of the doctor patient relationship</w:t>
      </w:r>
    </w:p>
    <w:p w:rsidR="003E1883" w:rsidRPr="003E1883" w:rsidRDefault="003E1883" w:rsidP="003E1883">
      <w:pPr>
        <w:rPr>
          <w:rFonts w:cs="Times New Roman"/>
          <w:szCs w:val="24"/>
        </w:rPr>
      </w:pPr>
      <w:r w:rsidRPr="003E1883">
        <w:rPr>
          <w:rFonts w:cs="Times New Roman"/>
          <w:szCs w:val="24"/>
        </w:rPr>
        <w:lastRenderedPageBreak/>
        <w:tab/>
        <w:t>5) Grasp of differing general approaches to professional ethics in the clinical setting</w:t>
      </w:r>
    </w:p>
    <w:p w:rsidR="003E1883" w:rsidRDefault="003E1883" w:rsidP="003E1883">
      <w:pPr>
        <w:rPr>
          <w:rFonts w:cs="Times New Roman"/>
          <w:szCs w:val="24"/>
        </w:rPr>
      </w:pPr>
      <w:r w:rsidRPr="003E1883">
        <w:rPr>
          <w:rFonts w:cs="Times New Roman"/>
          <w:szCs w:val="24"/>
        </w:rPr>
        <w:tab/>
        <w:t>6) Grasp of a range of views as to how the doctor patient relationship should be conducted in differing clinical contexts</w:t>
      </w:r>
      <w:r w:rsidR="007E019B">
        <w:rPr>
          <w:rFonts w:cs="Times New Roman"/>
          <w:szCs w:val="24"/>
        </w:rPr>
        <w:t xml:space="preserve">, including: </w:t>
      </w:r>
    </w:p>
    <w:p w:rsidR="00E96E56" w:rsidRDefault="00E96E56" w:rsidP="003E1883">
      <w:pPr>
        <w:rPr>
          <w:rFonts w:cs="Times New Roman"/>
          <w:szCs w:val="24"/>
        </w:rPr>
      </w:pPr>
      <w:r>
        <w:rPr>
          <w:rFonts w:cs="Times New Roman"/>
          <w:szCs w:val="24"/>
        </w:rPr>
        <w:tab/>
      </w:r>
      <w:r>
        <w:rPr>
          <w:rFonts w:cs="Times New Roman"/>
          <w:szCs w:val="24"/>
        </w:rPr>
        <w:tab/>
        <w:t>The spectrum of severity of illness</w:t>
      </w:r>
    </w:p>
    <w:p w:rsidR="007E019B" w:rsidRPr="003E1883" w:rsidRDefault="007E019B" w:rsidP="003E1883">
      <w:pPr>
        <w:rPr>
          <w:rFonts w:cs="Times New Roman"/>
          <w:szCs w:val="24"/>
        </w:rPr>
      </w:pPr>
      <w:r>
        <w:rPr>
          <w:rFonts w:cs="Times New Roman"/>
          <w:szCs w:val="24"/>
        </w:rPr>
        <w:tab/>
      </w:r>
      <w:r>
        <w:rPr>
          <w:rFonts w:cs="Times New Roman"/>
          <w:szCs w:val="24"/>
        </w:rPr>
        <w:tab/>
        <w:t>The beginnings and end of life</w:t>
      </w:r>
    </w:p>
    <w:p w:rsidR="003E1883" w:rsidRPr="003E1883" w:rsidRDefault="003E1883" w:rsidP="003E1883">
      <w:pPr>
        <w:rPr>
          <w:rFonts w:cs="Times New Roman"/>
          <w:szCs w:val="24"/>
        </w:rPr>
      </w:pPr>
      <w:r w:rsidRPr="003E1883">
        <w:rPr>
          <w:rFonts w:cs="Times New Roman"/>
          <w:szCs w:val="24"/>
        </w:rPr>
        <w:tab/>
        <w:t>7) Grasp of some of the options for thinking about what are human rights and what constitutes distributive justice in society</w:t>
      </w:r>
    </w:p>
    <w:p w:rsidR="003E1883" w:rsidRPr="003E1883" w:rsidRDefault="003E1883" w:rsidP="003E1883">
      <w:pPr>
        <w:rPr>
          <w:rFonts w:cs="Times New Roman"/>
          <w:szCs w:val="24"/>
        </w:rPr>
      </w:pPr>
      <w:r w:rsidRPr="003E1883">
        <w:rPr>
          <w:rFonts w:cs="Times New Roman"/>
          <w:szCs w:val="24"/>
        </w:rPr>
        <w:tab/>
        <w:t>8) Grasp of some of the options for thinking about the bearing of justice on medicine and of human rights on health care</w:t>
      </w:r>
    </w:p>
    <w:p w:rsidR="003E1883" w:rsidRPr="003E1883" w:rsidRDefault="003E1883" w:rsidP="003E1883">
      <w:pPr>
        <w:rPr>
          <w:rFonts w:cs="Times New Roman"/>
          <w:szCs w:val="24"/>
        </w:rPr>
      </w:pPr>
      <w:r w:rsidRPr="003E1883">
        <w:rPr>
          <w:rFonts w:cs="Times New Roman"/>
          <w:szCs w:val="24"/>
        </w:rPr>
        <w:tab/>
        <w:t xml:space="preserve">9) Grasp of some different ways of how medical professionals are paid and of conceiving of how we ought to think about medical professional pay.  </w:t>
      </w:r>
    </w:p>
    <w:p w:rsidR="003E1883" w:rsidRPr="003E1883" w:rsidRDefault="003E1883" w:rsidP="003E1883">
      <w:pPr>
        <w:rPr>
          <w:rFonts w:cs="Times New Roman"/>
          <w:szCs w:val="24"/>
        </w:rPr>
      </w:pPr>
    </w:p>
    <w:p w:rsidR="003E1883" w:rsidRPr="003E1883" w:rsidRDefault="003E1883" w:rsidP="003E1883">
      <w:pPr>
        <w:rPr>
          <w:rFonts w:cs="Times New Roman"/>
          <w:szCs w:val="24"/>
        </w:rPr>
      </w:pPr>
      <w:r w:rsidRPr="003E1883">
        <w:rPr>
          <w:rFonts w:cs="Times New Roman"/>
          <w:b/>
          <w:szCs w:val="24"/>
        </w:rPr>
        <w:t xml:space="preserve">Prerequisites:  </w:t>
      </w:r>
      <w:r w:rsidRPr="003E1883">
        <w:rPr>
          <w:rFonts w:cs="Times New Roman"/>
          <w:szCs w:val="24"/>
        </w:rPr>
        <w:t xml:space="preserve">Honors standing.  </w:t>
      </w:r>
    </w:p>
    <w:p w:rsidR="003E1883" w:rsidRPr="003E1883" w:rsidRDefault="003E1883" w:rsidP="003E1883">
      <w:pPr>
        <w:rPr>
          <w:rFonts w:cs="Times New Roman"/>
          <w:szCs w:val="24"/>
        </w:rPr>
      </w:pPr>
    </w:p>
    <w:p w:rsidR="00C34ADD" w:rsidRPr="00514A7B" w:rsidRDefault="003E1883" w:rsidP="00C34ADD">
      <w:pPr>
        <w:rPr>
          <w:b/>
        </w:rPr>
      </w:pPr>
      <w:r w:rsidRPr="001677D3">
        <w:rPr>
          <w:b/>
        </w:rPr>
        <w:t xml:space="preserve">Course </w:t>
      </w:r>
      <w:r w:rsidR="00514A7B" w:rsidRPr="00514A7B">
        <w:rPr>
          <w:b/>
        </w:rPr>
        <w:t>Grading</w:t>
      </w:r>
      <w:r>
        <w:rPr>
          <w:b/>
        </w:rPr>
        <w:t>:</w:t>
      </w:r>
    </w:p>
    <w:p w:rsidR="00514A7B" w:rsidRDefault="00B1577B" w:rsidP="00C34ADD">
      <w:r>
        <w:t xml:space="preserve">Final grades </w:t>
      </w:r>
      <w:r w:rsidR="00514A7B">
        <w:t>will be based upon performance on exams, quizzes, attendance/participation, and debate presentations as follows</w:t>
      </w:r>
    </w:p>
    <w:p w:rsidR="00514A7B" w:rsidRDefault="00514A7B" w:rsidP="00C34ADD"/>
    <w:p w:rsidR="00514A7B" w:rsidRPr="00514A7B" w:rsidRDefault="00327746" w:rsidP="00514A7B">
      <w:r w:rsidRPr="00514A7B">
        <w:t>50</w:t>
      </w:r>
      <w:r>
        <w:t>%</w:t>
      </w:r>
      <w:r w:rsidRPr="00514A7B">
        <w:t xml:space="preserve"> </w:t>
      </w:r>
      <w:r>
        <w:tab/>
      </w:r>
      <w:r w:rsidR="00514A7B" w:rsidRPr="00514A7B">
        <w:t>Exams</w:t>
      </w:r>
      <w:r w:rsidR="00514A7B">
        <w:t xml:space="preserve"> </w:t>
      </w:r>
      <w:r w:rsidR="00514A7B" w:rsidRPr="00514A7B">
        <w:t>(</w:t>
      </w:r>
      <w:r>
        <w:t xml:space="preserve">4 exams counting </w:t>
      </w:r>
      <w:r w:rsidR="00514A7B" w:rsidRPr="00514A7B">
        <w:t>10,10, 15,15</w:t>
      </w:r>
      <w:r>
        <w:t xml:space="preserve"> percent each</w:t>
      </w:r>
      <w:r w:rsidR="00AA222A">
        <w:t>; the t</w:t>
      </w:r>
      <w:r w:rsidR="00B1577B">
        <w:t xml:space="preserve">hought behind over weighting </w:t>
      </w:r>
      <w:r w:rsidR="00AA222A">
        <w:t>the later exams i</w:t>
      </w:r>
      <w:r w:rsidR="0005501E">
        <w:t>s that you will by that time be more skilled at answering the exam questions</w:t>
      </w:r>
      <w:r w:rsidR="00514A7B" w:rsidRPr="00514A7B">
        <w:t>)</w:t>
      </w:r>
    </w:p>
    <w:p w:rsidR="00514A7B" w:rsidRPr="00514A7B" w:rsidRDefault="00327746" w:rsidP="00514A7B">
      <w:r w:rsidRPr="00514A7B">
        <w:t>10</w:t>
      </w:r>
      <w:r>
        <w:t>%</w:t>
      </w:r>
      <w:r>
        <w:tab/>
      </w:r>
      <w:r w:rsidR="00514A7B" w:rsidRPr="00514A7B">
        <w:t>Quizzes</w:t>
      </w:r>
      <w:r w:rsidR="00514A7B">
        <w:t xml:space="preserve"> </w:t>
      </w:r>
      <w:r>
        <w:t>(</w:t>
      </w:r>
      <w:r w:rsidR="00B1577B">
        <w:t>beginning of most class meetings)</w:t>
      </w:r>
    </w:p>
    <w:p w:rsidR="00514A7B" w:rsidRPr="00514A7B" w:rsidRDefault="00B1577B" w:rsidP="00514A7B">
      <w:r w:rsidRPr="00514A7B">
        <w:t>20</w:t>
      </w:r>
      <w:r>
        <w:t>%</w:t>
      </w:r>
      <w:r>
        <w:tab/>
      </w:r>
      <w:r w:rsidR="00514A7B" w:rsidRPr="00514A7B">
        <w:t>Attendance/participation</w:t>
      </w:r>
      <w:r w:rsidR="00514A7B">
        <w:t xml:space="preserve"> </w:t>
      </w:r>
      <w:r w:rsidR="00B36071">
        <w:t>(5 points per discussion class session)</w:t>
      </w:r>
    </w:p>
    <w:p w:rsidR="00514A7B" w:rsidRDefault="00B1577B" w:rsidP="00514A7B">
      <w:r w:rsidRPr="00514A7B">
        <w:t>20</w:t>
      </w:r>
      <w:r>
        <w:t>%</w:t>
      </w:r>
      <w:r>
        <w:tab/>
      </w:r>
      <w:r w:rsidR="00514A7B" w:rsidRPr="00514A7B">
        <w:t>Debate presentations</w:t>
      </w:r>
      <w:r w:rsidR="00514A7B">
        <w:t xml:space="preserve"> </w:t>
      </w:r>
    </w:p>
    <w:p w:rsidR="00514A7B" w:rsidRDefault="00514A7B" w:rsidP="00514A7B"/>
    <w:p w:rsidR="00293847" w:rsidRDefault="00293847" w:rsidP="00514A7B">
      <w:r>
        <w:t xml:space="preserve">See the rubric document for </w:t>
      </w:r>
      <w:r w:rsidR="004B1C9B">
        <w:t xml:space="preserve">point assignments for each activity and for </w:t>
      </w:r>
      <w:r>
        <w:t xml:space="preserve">a guide to doing well on these assignments.  </w:t>
      </w:r>
    </w:p>
    <w:p w:rsidR="004B1C9B" w:rsidRDefault="004B1C9B" w:rsidP="00514A7B"/>
    <w:p w:rsidR="004B1C9B" w:rsidRDefault="004B1C9B" w:rsidP="00514A7B">
      <w:pPr>
        <w:rPr>
          <w:b/>
        </w:rPr>
      </w:pPr>
      <w:r>
        <w:rPr>
          <w:b/>
        </w:rPr>
        <w:t>Final Grading Scale</w:t>
      </w:r>
    </w:p>
    <w:p w:rsidR="004C330B" w:rsidRPr="004C330B" w:rsidRDefault="004C330B" w:rsidP="004C330B">
      <w:pPr>
        <w:rPr>
          <w:rFonts w:cs="Times New Roman"/>
          <w:szCs w:val="24"/>
        </w:rPr>
      </w:pPr>
      <w:r w:rsidRPr="004C330B">
        <w:rPr>
          <w:rFonts w:cs="Times New Roman"/>
          <w:szCs w:val="24"/>
        </w:rPr>
        <w:t xml:space="preserve">To determine your grade, your point totals out of possible points for each activity will be adjusted to a 1000 point scale according to the weights of the course activities as follows: </w:t>
      </w:r>
    </w:p>
    <w:p w:rsidR="004C330B" w:rsidRPr="004C330B" w:rsidRDefault="004C330B" w:rsidP="004C330B">
      <w:pPr>
        <w:rPr>
          <w:rFonts w:cs="Times New Roman"/>
          <w:szCs w:val="24"/>
        </w:rPr>
      </w:pPr>
    </w:p>
    <w:p w:rsidR="004C330B" w:rsidRPr="004C330B" w:rsidRDefault="004C330B" w:rsidP="004C330B">
      <w:pPr>
        <w:rPr>
          <w:rFonts w:cs="Times New Roman"/>
          <w:szCs w:val="24"/>
        </w:rPr>
      </w:pPr>
      <w:r w:rsidRPr="004C330B">
        <w:rPr>
          <w:rFonts w:cs="Times New Roman"/>
          <w:szCs w:val="24"/>
        </w:rPr>
        <w:tab/>
        <w:t xml:space="preserve">   Possible Points</w:t>
      </w:r>
      <w:r w:rsidRPr="004C330B">
        <w:rPr>
          <w:rFonts w:cs="Times New Roman"/>
          <w:szCs w:val="24"/>
        </w:rPr>
        <w:tab/>
      </w:r>
      <w:r w:rsidRPr="004C330B">
        <w:rPr>
          <w:rFonts w:cs="Times New Roman"/>
          <w:szCs w:val="24"/>
        </w:rPr>
        <w:tab/>
      </w:r>
      <w:r w:rsidRPr="004C330B">
        <w:rPr>
          <w:rFonts w:cs="Times New Roman"/>
          <w:szCs w:val="24"/>
        </w:rPr>
        <w:tab/>
        <w:t xml:space="preserve">    Final Grading Scale</w:t>
      </w:r>
    </w:p>
    <w:p w:rsidR="004C330B" w:rsidRPr="004C330B" w:rsidRDefault="00A676A2" w:rsidP="004C330B">
      <w:pPr>
        <w:rPr>
          <w:rFonts w:cs="Times New Roman"/>
          <w:szCs w:val="24"/>
        </w:rPr>
      </w:pPr>
      <w:r>
        <w:rPr>
          <w:rFonts w:cs="Times New Roman"/>
          <w:szCs w:val="24"/>
        </w:rPr>
        <w:t xml:space="preserve">Participation </w:t>
      </w:r>
      <w:r>
        <w:rPr>
          <w:rFonts w:cs="Times New Roman"/>
          <w:szCs w:val="24"/>
        </w:rPr>
        <w:tab/>
        <w:t>95</w:t>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t>200</w:t>
      </w:r>
    </w:p>
    <w:p w:rsidR="00FB4E72" w:rsidRDefault="004C330B" w:rsidP="004C330B">
      <w:pPr>
        <w:rPr>
          <w:rFonts w:cs="Times New Roman"/>
          <w:szCs w:val="24"/>
        </w:rPr>
      </w:pPr>
      <w:r w:rsidRPr="004C330B">
        <w:rPr>
          <w:rFonts w:cs="Times New Roman"/>
          <w:szCs w:val="24"/>
        </w:rPr>
        <w:t>Quizzes</w:t>
      </w:r>
      <w:r w:rsidRPr="004C330B">
        <w:rPr>
          <w:rFonts w:cs="Times New Roman"/>
          <w:szCs w:val="24"/>
        </w:rPr>
        <w:tab/>
        <w:t>41</w:t>
      </w:r>
      <w:r w:rsidR="00FB4E72">
        <w:rPr>
          <w:rFonts w:cs="Times New Roman"/>
          <w:szCs w:val="24"/>
        </w:rPr>
        <w:t xml:space="preserve"> </w:t>
      </w:r>
      <w:r w:rsidR="00FB4E72">
        <w:rPr>
          <w:rFonts w:cs="Times New Roman"/>
          <w:szCs w:val="24"/>
        </w:rPr>
        <w:tab/>
      </w:r>
      <w:r w:rsidR="00FB4E72">
        <w:rPr>
          <w:rFonts w:cs="Times New Roman"/>
          <w:szCs w:val="24"/>
        </w:rPr>
        <w:tab/>
      </w:r>
      <w:r w:rsidR="00FB4E72">
        <w:rPr>
          <w:rFonts w:cs="Times New Roman"/>
          <w:szCs w:val="24"/>
        </w:rPr>
        <w:tab/>
      </w:r>
      <w:r w:rsidR="00FB4E72">
        <w:rPr>
          <w:rFonts w:cs="Times New Roman"/>
          <w:szCs w:val="24"/>
        </w:rPr>
        <w:tab/>
      </w:r>
      <w:r w:rsidR="00FB4E72">
        <w:rPr>
          <w:rFonts w:cs="Times New Roman"/>
          <w:szCs w:val="24"/>
        </w:rPr>
        <w:tab/>
        <w:t>100</w:t>
      </w:r>
    </w:p>
    <w:p w:rsidR="004C330B" w:rsidRPr="004C330B" w:rsidRDefault="00FB4E72" w:rsidP="004C330B">
      <w:pPr>
        <w:rPr>
          <w:rFonts w:cs="Times New Roman"/>
          <w:szCs w:val="24"/>
        </w:rPr>
      </w:pPr>
      <w:r>
        <w:rPr>
          <w:rFonts w:cs="Times New Roman"/>
          <w:szCs w:val="24"/>
        </w:rPr>
        <w:tab/>
        <w:t>(</w:t>
      </w:r>
      <w:r w:rsidR="00664367">
        <w:rPr>
          <w:rFonts w:cs="Times New Roman"/>
          <w:szCs w:val="24"/>
        </w:rPr>
        <w:t>possible points</w:t>
      </w:r>
      <w:r w:rsidR="000141E8">
        <w:rPr>
          <w:rFonts w:cs="Times New Roman"/>
          <w:szCs w:val="24"/>
        </w:rPr>
        <w:t xml:space="preserve"> </w:t>
      </w:r>
      <w:r w:rsidR="00984979">
        <w:rPr>
          <w:rFonts w:cs="Times New Roman"/>
          <w:szCs w:val="24"/>
        </w:rPr>
        <w:t xml:space="preserve">for quizzes </w:t>
      </w:r>
      <w:r>
        <w:rPr>
          <w:rFonts w:cs="Times New Roman"/>
          <w:szCs w:val="24"/>
        </w:rPr>
        <w:t>may vary with final number of quizzes</w:t>
      </w:r>
      <w:r w:rsidR="000141E8">
        <w:rPr>
          <w:rFonts w:cs="Times New Roman"/>
          <w:szCs w:val="24"/>
        </w:rPr>
        <w:t>/total # questions</w:t>
      </w:r>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FB4E72" w:rsidRDefault="00FB4E72" w:rsidP="004C330B">
      <w:pPr>
        <w:rPr>
          <w:rFonts w:cs="Times New Roman"/>
          <w:szCs w:val="24"/>
        </w:rPr>
      </w:pPr>
    </w:p>
    <w:p w:rsidR="004C330B" w:rsidRPr="004C330B" w:rsidRDefault="00493861" w:rsidP="004C330B">
      <w:pPr>
        <w:rPr>
          <w:rFonts w:cs="Times New Roman"/>
          <w:szCs w:val="24"/>
        </w:rPr>
      </w:pPr>
      <w:r>
        <w:rPr>
          <w:rFonts w:cs="Times New Roman"/>
          <w:szCs w:val="24"/>
        </w:rPr>
        <w:t xml:space="preserve">Exams </w:t>
      </w:r>
      <w:r>
        <w:rPr>
          <w:rFonts w:cs="Times New Roman"/>
          <w:szCs w:val="24"/>
        </w:rPr>
        <w:tab/>
      </w:r>
      <w:r>
        <w:rPr>
          <w:rFonts w:cs="Times New Roman"/>
          <w:szCs w:val="24"/>
        </w:rPr>
        <w:tab/>
        <w:t>4</w:t>
      </w:r>
      <w:r w:rsidR="004C330B" w:rsidRPr="004C330B">
        <w:rPr>
          <w:rFonts w:cs="Times New Roman"/>
          <w:szCs w:val="24"/>
        </w:rPr>
        <w:t>00</w:t>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r>
      <w:r w:rsidR="004C330B" w:rsidRPr="004C330B">
        <w:rPr>
          <w:rFonts w:cs="Times New Roman"/>
          <w:szCs w:val="24"/>
        </w:rPr>
        <w:tab/>
        <w:t>500</w:t>
      </w:r>
    </w:p>
    <w:p w:rsidR="004C330B" w:rsidRPr="004C330B" w:rsidRDefault="004C330B" w:rsidP="004C330B">
      <w:pPr>
        <w:rPr>
          <w:rFonts w:cs="Times New Roman"/>
          <w:szCs w:val="24"/>
        </w:rPr>
      </w:pPr>
      <w:r w:rsidRPr="004C330B">
        <w:rPr>
          <w:rFonts w:cs="Times New Roman"/>
          <w:szCs w:val="24"/>
        </w:rPr>
        <w:t>Debates</w:t>
      </w:r>
      <w:r w:rsidRPr="004C330B">
        <w:rPr>
          <w:rFonts w:cs="Times New Roman"/>
          <w:szCs w:val="24"/>
        </w:rPr>
        <w:tab/>
        <w:t>100</w:t>
      </w:r>
      <w:r w:rsidRPr="004C330B">
        <w:rPr>
          <w:rFonts w:cs="Times New Roman"/>
          <w:szCs w:val="24"/>
        </w:rPr>
        <w:tab/>
      </w:r>
      <w:r w:rsidRPr="004C330B">
        <w:rPr>
          <w:rFonts w:cs="Times New Roman"/>
          <w:szCs w:val="24"/>
        </w:rPr>
        <w:tab/>
      </w:r>
      <w:r w:rsidRPr="004C330B">
        <w:rPr>
          <w:rFonts w:cs="Times New Roman"/>
          <w:szCs w:val="24"/>
        </w:rPr>
        <w:tab/>
      </w:r>
      <w:r w:rsidRPr="004C330B">
        <w:rPr>
          <w:rFonts w:cs="Times New Roman"/>
          <w:szCs w:val="24"/>
        </w:rPr>
        <w:tab/>
      </w:r>
      <w:r w:rsidRPr="004C330B">
        <w:rPr>
          <w:rFonts w:cs="Times New Roman"/>
          <w:szCs w:val="24"/>
        </w:rPr>
        <w:tab/>
        <w:t>200</w:t>
      </w:r>
    </w:p>
    <w:p w:rsidR="004C330B" w:rsidRPr="004C330B" w:rsidRDefault="004C330B" w:rsidP="004C330B">
      <w:pPr>
        <w:rPr>
          <w:rFonts w:cs="Times New Roman"/>
          <w:szCs w:val="24"/>
        </w:rPr>
      </w:pPr>
    </w:p>
    <w:p w:rsidR="004C330B" w:rsidRPr="004C330B" w:rsidRDefault="004C330B" w:rsidP="004C330B">
      <w:pPr>
        <w:rPr>
          <w:rFonts w:cs="Times New Roman"/>
          <w:szCs w:val="24"/>
        </w:rPr>
      </w:pPr>
      <w:r w:rsidRPr="004C330B">
        <w:rPr>
          <w:rFonts w:cs="Times New Roman"/>
          <w:szCs w:val="24"/>
        </w:rPr>
        <w:t>Your final grade will then be assigned according to your point total out of 1000</w:t>
      </w:r>
    </w:p>
    <w:p w:rsidR="004C330B" w:rsidRPr="004C330B" w:rsidRDefault="004C330B" w:rsidP="004C330B">
      <w:pPr>
        <w:rPr>
          <w:rFonts w:cs="Times New Roman"/>
          <w:szCs w:val="24"/>
        </w:rPr>
      </w:pPr>
    </w:p>
    <w:p w:rsidR="004C330B" w:rsidRPr="004C330B" w:rsidRDefault="004C330B" w:rsidP="004C330B">
      <w:pPr>
        <w:rPr>
          <w:rFonts w:cs="Times New Roman"/>
          <w:szCs w:val="24"/>
        </w:rPr>
      </w:pPr>
      <w:r w:rsidRPr="004C330B">
        <w:rPr>
          <w:rFonts w:cs="Times New Roman"/>
          <w:szCs w:val="24"/>
        </w:rPr>
        <w:t>900-1000</w:t>
      </w:r>
      <w:r w:rsidRPr="004C330B">
        <w:rPr>
          <w:rFonts w:cs="Times New Roman"/>
          <w:szCs w:val="24"/>
        </w:rPr>
        <w:tab/>
        <w:t>A</w:t>
      </w:r>
    </w:p>
    <w:p w:rsidR="004C330B" w:rsidRPr="004C330B" w:rsidRDefault="004C330B" w:rsidP="004C330B">
      <w:pPr>
        <w:rPr>
          <w:rFonts w:cs="Times New Roman"/>
          <w:szCs w:val="24"/>
        </w:rPr>
      </w:pPr>
      <w:r w:rsidRPr="004C330B">
        <w:rPr>
          <w:rFonts w:cs="Times New Roman"/>
          <w:szCs w:val="24"/>
        </w:rPr>
        <w:t>800-899</w:t>
      </w:r>
      <w:r w:rsidRPr="004C330B">
        <w:rPr>
          <w:rFonts w:cs="Times New Roman"/>
          <w:szCs w:val="24"/>
        </w:rPr>
        <w:tab/>
        <w:t>B</w:t>
      </w:r>
    </w:p>
    <w:p w:rsidR="004C330B" w:rsidRPr="004C330B" w:rsidRDefault="004C330B" w:rsidP="004C330B">
      <w:pPr>
        <w:rPr>
          <w:rFonts w:cs="Times New Roman"/>
          <w:szCs w:val="24"/>
        </w:rPr>
      </w:pPr>
      <w:r w:rsidRPr="004C330B">
        <w:rPr>
          <w:rFonts w:cs="Times New Roman"/>
          <w:szCs w:val="24"/>
        </w:rPr>
        <w:t>700-799</w:t>
      </w:r>
      <w:r w:rsidRPr="004C330B">
        <w:rPr>
          <w:rFonts w:cs="Times New Roman"/>
          <w:szCs w:val="24"/>
        </w:rPr>
        <w:tab/>
        <w:t>C</w:t>
      </w:r>
    </w:p>
    <w:p w:rsidR="004C330B" w:rsidRPr="004C330B" w:rsidRDefault="004C330B" w:rsidP="004C330B">
      <w:pPr>
        <w:rPr>
          <w:rFonts w:cs="Times New Roman"/>
          <w:szCs w:val="24"/>
        </w:rPr>
      </w:pPr>
      <w:r w:rsidRPr="004C330B">
        <w:rPr>
          <w:rFonts w:cs="Times New Roman"/>
          <w:szCs w:val="24"/>
        </w:rPr>
        <w:t>600-699</w:t>
      </w:r>
      <w:r w:rsidRPr="004C330B">
        <w:rPr>
          <w:rFonts w:cs="Times New Roman"/>
          <w:szCs w:val="24"/>
        </w:rPr>
        <w:tab/>
        <w:t>D</w:t>
      </w:r>
    </w:p>
    <w:p w:rsidR="004C330B" w:rsidRDefault="004C330B" w:rsidP="004C330B">
      <w:pPr>
        <w:rPr>
          <w:rFonts w:cs="Times New Roman"/>
          <w:szCs w:val="24"/>
        </w:rPr>
      </w:pPr>
      <w:r w:rsidRPr="004C330B">
        <w:rPr>
          <w:rFonts w:cs="Times New Roman"/>
          <w:szCs w:val="24"/>
        </w:rPr>
        <w:lastRenderedPageBreak/>
        <w:t>Below 600</w:t>
      </w:r>
      <w:r w:rsidRPr="004C330B">
        <w:rPr>
          <w:rFonts w:cs="Times New Roman"/>
          <w:szCs w:val="24"/>
        </w:rPr>
        <w:tab/>
        <w:t>F</w:t>
      </w:r>
    </w:p>
    <w:p w:rsidR="007A4606" w:rsidRDefault="007A4606" w:rsidP="004C330B">
      <w:pPr>
        <w:rPr>
          <w:rFonts w:cs="Times New Roman"/>
          <w:szCs w:val="24"/>
        </w:rPr>
      </w:pPr>
    </w:p>
    <w:p w:rsidR="007A4606" w:rsidRPr="004C330B" w:rsidRDefault="007A4606" w:rsidP="004C330B">
      <w:pPr>
        <w:rPr>
          <w:rFonts w:cs="Times New Roman"/>
          <w:szCs w:val="24"/>
        </w:rPr>
      </w:pPr>
      <w:r>
        <w:rPr>
          <w:rFonts w:cs="Times New Roman"/>
          <w:szCs w:val="24"/>
        </w:rPr>
        <w:t xml:space="preserve">There will be no rounding of grades.  </w:t>
      </w:r>
    </w:p>
    <w:p w:rsidR="004B1C9B" w:rsidRPr="004B1C9B" w:rsidRDefault="004B1C9B" w:rsidP="00514A7B">
      <w:pPr>
        <w:rPr>
          <w:b/>
        </w:rPr>
      </w:pPr>
    </w:p>
    <w:p w:rsidR="00876B8E" w:rsidRPr="002433C1" w:rsidRDefault="0005501E" w:rsidP="00514A7B">
      <w:pPr>
        <w:rPr>
          <w:b/>
        </w:rPr>
      </w:pPr>
      <w:r>
        <w:rPr>
          <w:b/>
        </w:rPr>
        <w:t>Course Activities and As</w:t>
      </w:r>
      <w:r w:rsidR="002433C1" w:rsidRPr="002433C1">
        <w:rPr>
          <w:b/>
        </w:rPr>
        <w:t>signments</w:t>
      </w:r>
      <w:r w:rsidR="00493861">
        <w:rPr>
          <w:b/>
        </w:rPr>
        <w:t xml:space="preserve"> Description</w:t>
      </w:r>
    </w:p>
    <w:p w:rsidR="004C330B" w:rsidRDefault="004C330B" w:rsidP="00514A7B"/>
    <w:p w:rsidR="00514A7B" w:rsidRPr="00514A7B" w:rsidRDefault="00514A7B" w:rsidP="00514A7B">
      <w:pPr>
        <w:rPr>
          <w:u w:val="single"/>
        </w:rPr>
      </w:pPr>
      <w:r w:rsidRPr="00514A7B">
        <w:rPr>
          <w:u w:val="single"/>
        </w:rPr>
        <w:t>Exams</w:t>
      </w:r>
    </w:p>
    <w:p w:rsidR="00514A7B" w:rsidRDefault="00514A7B" w:rsidP="00514A7B">
      <w:r w:rsidRPr="00514A7B">
        <w:t xml:space="preserve">Exams will be closed book, in-class, proctored answering of several of a selection of short essay questions with pen and paper.  </w:t>
      </w:r>
    </w:p>
    <w:p w:rsidR="000F16BA" w:rsidRDefault="000F16BA" w:rsidP="00514A7B"/>
    <w:p w:rsidR="000F16BA" w:rsidRPr="004A61AE" w:rsidRDefault="000F16BA" w:rsidP="00514A7B">
      <w:pPr>
        <w:rPr>
          <w:u w:val="single"/>
        </w:rPr>
      </w:pPr>
      <w:r w:rsidRPr="004A61AE">
        <w:rPr>
          <w:u w:val="single"/>
        </w:rPr>
        <w:t>Exam Dates</w:t>
      </w:r>
    </w:p>
    <w:p w:rsidR="000F16BA" w:rsidRDefault="000F16BA" w:rsidP="00514A7B">
      <w:r>
        <w:t>September 16</w:t>
      </w:r>
      <w:r w:rsidRPr="000F16BA">
        <w:rPr>
          <w:vertAlign w:val="superscript"/>
        </w:rPr>
        <w:t>th</w:t>
      </w:r>
      <w:r>
        <w:tab/>
        <w:t>Exam 1</w:t>
      </w:r>
    </w:p>
    <w:p w:rsidR="000F16BA" w:rsidRDefault="000F16BA" w:rsidP="00514A7B">
      <w:r>
        <w:t>October 7</w:t>
      </w:r>
      <w:r w:rsidRPr="000F16BA">
        <w:rPr>
          <w:vertAlign w:val="superscript"/>
        </w:rPr>
        <w:t>th</w:t>
      </w:r>
      <w:r>
        <w:tab/>
      </w:r>
      <w:r>
        <w:tab/>
        <w:t>Exam 2</w:t>
      </w:r>
    </w:p>
    <w:p w:rsidR="000F16BA" w:rsidRDefault="000F16BA" w:rsidP="00514A7B">
      <w:r>
        <w:t>November 4</w:t>
      </w:r>
      <w:r w:rsidRPr="000F16BA">
        <w:rPr>
          <w:vertAlign w:val="superscript"/>
        </w:rPr>
        <w:t>th</w:t>
      </w:r>
      <w:r>
        <w:tab/>
      </w:r>
      <w:r>
        <w:tab/>
        <w:t>Exam 3</w:t>
      </w:r>
    </w:p>
    <w:p w:rsidR="000F16BA" w:rsidRPr="00514A7B" w:rsidRDefault="000F16BA" w:rsidP="00514A7B">
      <w:r>
        <w:t>TBD finals week</w:t>
      </w:r>
      <w:r>
        <w:tab/>
        <w:t>Exam 4</w:t>
      </w:r>
    </w:p>
    <w:p w:rsidR="00514A7B" w:rsidRDefault="00514A7B" w:rsidP="00514A7B">
      <w:pPr>
        <w:rPr>
          <w:b/>
          <w:u w:val="single"/>
        </w:rPr>
      </w:pPr>
    </w:p>
    <w:p w:rsidR="004A61AE" w:rsidRPr="00514A7B" w:rsidRDefault="004A61AE" w:rsidP="00514A7B">
      <w:pPr>
        <w:rPr>
          <w:b/>
          <w:u w:val="single"/>
        </w:rPr>
      </w:pPr>
    </w:p>
    <w:p w:rsidR="00514A7B" w:rsidRPr="00514A7B" w:rsidRDefault="00514A7B" w:rsidP="00514A7B">
      <w:pPr>
        <w:rPr>
          <w:u w:val="single"/>
        </w:rPr>
      </w:pPr>
      <w:r w:rsidRPr="00514A7B">
        <w:rPr>
          <w:u w:val="single"/>
        </w:rPr>
        <w:t>Quizzes</w:t>
      </w:r>
    </w:p>
    <w:p w:rsidR="00514A7B" w:rsidRDefault="00514A7B" w:rsidP="00514A7B">
      <w:r w:rsidRPr="00514A7B">
        <w:t xml:space="preserve">There will be </w:t>
      </w:r>
      <w:r w:rsidR="002D2C67">
        <w:t xml:space="preserve">short quizzes </w:t>
      </w:r>
      <w:r w:rsidRPr="00514A7B">
        <w:t xml:space="preserve">administered at the beginning of </w:t>
      </w:r>
      <w:r w:rsidR="00CC2B53">
        <w:t xml:space="preserve">(most) </w:t>
      </w:r>
      <w:r w:rsidRPr="00514A7B">
        <w:t>class</w:t>
      </w:r>
      <w:r w:rsidR="00CC2B53">
        <w:t>es</w:t>
      </w:r>
      <w:r w:rsidR="006E0AA4">
        <w:t xml:space="preserve"> using Canvas</w:t>
      </w:r>
      <w:r w:rsidRPr="00514A7B">
        <w:t xml:space="preserve">, aimed at determining whether you have done the readings for the session.    There will be no makeup if you miss these, but at the end I will drop your worst quiz from the quiz grade.  </w:t>
      </w:r>
    </w:p>
    <w:p w:rsidR="002B3333" w:rsidRPr="00514A7B" w:rsidRDefault="002B3333" w:rsidP="00514A7B"/>
    <w:p w:rsidR="002B3333" w:rsidRPr="001D5DC8" w:rsidRDefault="002B3333" w:rsidP="002B3333">
      <w:pPr>
        <w:rPr>
          <w:u w:val="single"/>
        </w:rPr>
      </w:pPr>
      <w:r w:rsidRPr="001D5DC8">
        <w:rPr>
          <w:u w:val="single"/>
        </w:rPr>
        <w:t xml:space="preserve">Attendance/Participation </w:t>
      </w:r>
    </w:p>
    <w:p w:rsidR="0074693A" w:rsidRDefault="00F724FB" w:rsidP="002B3333">
      <w:r>
        <w:t xml:space="preserve">5 points per discussion class for attendance/engagement (you may be docked points if you are </w:t>
      </w:r>
      <w:r w:rsidR="003F5723">
        <w:t xml:space="preserve">visibly distracted for an appreciable time).  </w:t>
      </w:r>
      <w:r w:rsidR="0074693A">
        <w:t xml:space="preserve">You will have 3 allowed absences before you lose attendance points.  Reserve these for emergencies.  </w:t>
      </w:r>
    </w:p>
    <w:p w:rsidR="0074693A" w:rsidRDefault="0074693A" w:rsidP="002B3333"/>
    <w:p w:rsidR="002B3333" w:rsidRDefault="00F459AF" w:rsidP="002B3333">
      <w:r>
        <w:t xml:space="preserve">Students should arrive on time, be prepared to talk about the readings and to participate in class discussion.  </w:t>
      </w:r>
      <w:r w:rsidR="003F5723">
        <w:t xml:space="preserve">My rationale for </w:t>
      </w:r>
      <w:r>
        <w:t xml:space="preserve">valuing attendance and participation for your grade:  </w:t>
      </w:r>
      <w:r w:rsidR="003F5723">
        <w:t>t</w:t>
      </w:r>
      <w:r w:rsidR="002B3333">
        <w:t xml:space="preserve">o benefit from this course </w:t>
      </w:r>
      <w:r w:rsidR="0074693A">
        <w:t xml:space="preserve">as I intend you to </w:t>
      </w:r>
      <w:r w:rsidR="002B3333">
        <w:t xml:space="preserve">you need to come to class and participate.  I get that group discussion will be easier for some of you than for others, but I want to encourage those of you </w:t>
      </w:r>
      <w:r w:rsidR="006131B2">
        <w:t xml:space="preserve">for whom this is difficult </w:t>
      </w:r>
      <w:r w:rsidR="002B3333">
        <w:t xml:space="preserve">to view this course as an opportunity to get better at articulating your thoughts in a group setting.  This will be an important skill for your future careers in (almost) any field you pursue.  </w:t>
      </w:r>
      <w:r w:rsidR="00757F53">
        <w:t xml:space="preserve">My goal for you </w:t>
      </w:r>
      <w:r w:rsidR="00AD3240">
        <w:t xml:space="preserve">during the course </w:t>
      </w:r>
      <w:r w:rsidR="00E57F5D">
        <w:t xml:space="preserve">is </w:t>
      </w:r>
      <w:r w:rsidR="00AD3240">
        <w:t xml:space="preserve">for you </w:t>
      </w:r>
      <w:r w:rsidR="00E57F5D">
        <w:t xml:space="preserve">to become good at </w:t>
      </w:r>
      <w:r w:rsidR="00C51506">
        <w:t xml:space="preserve">analyzing ethical positions, articulating strengths and weaknesses of these, and constructively supporting or </w:t>
      </w:r>
      <w:r w:rsidR="00AD3240">
        <w:t xml:space="preserve">opposing </w:t>
      </w:r>
      <w:r w:rsidR="000258BD">
        <w:t xml:space="preserve">them as you develop your own view on the topics discussed—all in conversation with your peers and with me.  </w:t>
      </w:r>
      <w:r w:rsidR="00FF1768">
        <w:t xml:space="preserve">I will be happy to meet with you one on one </w:t>
      </w:r>
      <w:r w:rsidR="00CC2B53">
        <w:t xml:space="preserve">on ways for this to become easier </w:t>
      </w:r>
      <w:r w:rsidR="00FF1768">
        <w:t xml:space="preserve">if that would be helpful.  </w:t>
      </w:r>
    </w:p>
    <w:p w:rsidR="00514A7B" w:rsidRPr="00514A7B" w:rsidRDefault="00514A7B" w:rsidP="00514A7B"/>
    <w:p w:rsidR="00514A7B" w:rsidRPr="00514A7B" w:rsidRDefault="00514A7B" w:rsidP="00514A7B">
      <w:pPr>
        <w:rPr>
          <w:u w:val="single"/>
        </w:rPr>
      </w:pPr>
      <w:r w:rsidRPr="00514A7B">
        <w:rPr>
          <w:u w:val="single"/>
        </w:rPr>
        <w:t>Debates</w:t>
      </w:r>
    </w:p>
    <w:p w:rsidR="00514A7B" w:rsidRPr="00514A7B" w:rsidRDefault="00514A7B" w:rsidP="00514A7B">
      <w:r w:rsidRPr="00514A7B">
        <w:t>Class sessions toward the end of the semester will be devoted</w:t>
      </w:r>
      <w:r>
        <w:t xml:space="preserve"> to debates on clinical or medicine-and-society </w:t>
      </w:r>
      <w:r w:rsidRPr="00514A7B">
        <w:t xml:space="preserve">ethics topics, presented by groups of 4 students in opposing teams of 2.  Pick topics you are interested in from among those the class has discussed (or others in consultation with me) and divide into groups of 4 accordingly. Then decide on how to frame the opposing positions and which team members will represent which side.  It will be important for the opposing teams to collaborate carefully on the specific opposing positions to be argued for, as </w:t>
      </w:r>
      <w:r w:rsidRPr="00514A7B">
        <w:lastRenderedPageBreak/>
        <w:t>these must confront one another and not simply talk past each other.  The opposing teams should develop something like an Oxford Union “motion”; a statement to be argued for and against that provides a frame for the argument—for instance, if a group wants to debate abortion, the statement should not be “ab</w:t>
      </w:r>
      <w:r w:rsidR="002B11BA">
        <w:t xml:space="preserve">ortion is ethically permissible </w:t>
      </w:r>
      <w:r w:rsidRPr="00514A7B">
        <w:t xml:space="preserve">(or not)” but instead something like “abortion is a legitimate expression of reproductive autonomy” or “abortion is an offense against the inviolability of human life”.  </w:t>
      </w:r>
    </w:p>
    <w:p w:rsidR="00514A7B" w:rsidRPr="00514A7B" w:rsidRDefault="00514A7B" w:rsidP="00514A7B"/>
    <w:p w:rsidR="00514A7B" w:rsidRPr="00514A7B" w:rsidRDefault="00514A7B" w:rsidP="00514A7B">
      <w:r w:rsidRPr="00514A7B">
        <w:t>The format of the debate will be 10-12 minute opening statements followed  by 5-6 minute rebuttals; these may include or be followed by brief back and forth between teams, after which there will be question and answer from the class to the teams.  One on each team should do the opening statement and the other the rebuttal to the opposing opening statement.  The debate is likely to be more productive if the opposing teams collaborate, deciding together on the particular arguments to be in focus</w:t>
      </w:r>
      <w:r w:rsidR="001D067C">
        <w:t xml:space="preserve"> pro- and con- the statement to be debated</w:t>
      </w:r>
      <w:r w:rsidRPr="00514A7B">
        <w:t xml:space="preserve">.  </w:t>
      </w:r>
    </w:p>
    <w:p w:rsidR="00514A7B" w:rsidRPr="00514A7B" w:rsidRDefault="00514A7B" w:rsidP="00514A7B"/>
    <w:p w:rsidR="00514A7B" w:rsidRPr="00514A7B" w:rsidRDefault="00514A7B" w:rsidP="00514A7B">
      <w:r w:rsidRPr="00514A7B">
        <w:t xml:space="preserve">The order of presentations will be: </w:t>
      </w:r>
    </w:p>
    <w:p w:rsidR="00514A7B" w:rsidRPr="00514A7B" w:rsidRDefault="00514A7B" w:rsidP="00514A7B">
      <w:r w:rsidRPr="00514A7B">
        <w:t>Team A opening statement</w:t>
      </w:r>
    </w:p>
    <w:p w:rsidR="00514A7B" w:rsidRPr="00514A7B" w:rsidRDefault="00514A7B" w:rsidP="00514A7B">
      <w:r w:rsidRPr="00514A7B">
        <w:t>Team B opening statement</w:t>
      </w:r>
    </w:p>
    <w:p w:rsidR="00514A7B" w:rsidRPr="00514A7B" w:rsidRDefault="00514A7B" w:rsidP="00514A7B">
      <w:r w:rsidRPr="00514A7B">
        <w:t>Team B rebuttal of team A</w:t>
      </w:r>
    </w:p>
    <w:p w:rsidR="00514A7B" w:rsidRPr="00514A7B" w:rsidRDefault="00514A7B" w:rsidP="00514A7B">
      <w:r w:rsidRPr="00514A7B">
        <w:t>Team A rebuttal of team B</w:t>
      </w:r>
    </w:p>
    <w:p w:rsidR="00514A7B" w:rsidRPr="00514A7B" w:rsidRDefault="00514A7B" w:rsidP="00514A7B"/>
    <w:p w:rsidR="00716B0C" w:rsidRDefault="00514A7B" w:rsidP="00716B0C">
      <w:r w:rsidRPr="00514A7B">
        <w:t xml:space="preserve">This order will assure each rebutting team member of not having to rebut immediately after having heard the opening statement to be rebutted.  </w:t>
      </w:r>
      <w:r w:rsidR="00716B0C" w:rsidRPr="00514A7B">
        <w:t xml:space="preserve">Your opening statements and rebuttals will be subject to a time limit respectively of 12 minutes and 6 minutes.  </w:t>
      </w:r>
    </w:p>
    <w:p w:rsidR="00585A9F" w:rsidRDefault="00585A9F" w:rsidP="00716B0C"/>
    <w:p w:rsidR="00585A9F" w:rsidRPr="00514A7B" w:rsidRDefault="00585A9F" w:rsidP="00716B0C">
      <w:r w:rsidRPr="003A60EB">
        <w:rPr>
          <w:color w:val="FF0000"/>
        </w:rPr>
        <w:t>By September 30</w:t>
      </w:r>
      <w:r w:rsidRPr="003A60EB">
        <w:rPr>
          <w:color w:val="FF0000"/>
          <w:vertAlign w:val="superscript"/>
        </w:rPr>
        <w:t>th</w:t>
      </w:r>
      <w:r w:rsidRPr="003A60EB">
        <w:rPr>
          <w:color w:val="FF0000"/>
        </w:rPr>
        <w:t>, you should have divided into 4 person debate teams</w:t>
      </w:r>
      <w:r w:rsidR="005B60D7" w:rsidRPr="003A60EB">
        <w:rPr>
          <w:color w:val="FF0000"/>
        </w:rPr>
        <w:t xml:space="preserve"> (possibly </w:t>
      </w:r>
      <w:r w:rsidR="008456E4" w:rsidRPr="003A60EB">
        <w:rPr>
          <w:color w:val="FF0000"/>
        </w:rPr>
        <w:t xml:space="preserve">one </w:t>
      </w:r>
      <w:r w:rsidR="005B60D7" w:rsidRPr="003A60EB">
        <w:rPr>
          <w:color w:val="FF0000"/>
        </w:rPr>
        <w:t>5 person tea</w:t>
      </w:r>
      <w:r w:rsidR="008456E4" w:rsidRPr="003A60EB">
        <w:rPr>
          <w:color w:val="FF0000"/>
        </w:rPr>
        <w:t>m</w:t>
      </w:r>
      <w:r w:rsidR="005B60D7" w:rsidRPr="003A60EB">
        <w:rPr>
          <w:color w:val="FF0000"/>
        </w:rPr>
        <w:t xml:space="preserve"> if #s</w:t>
      </w:r>
      <w:r w:rsidR="008456E4" w:rsidRPr="003A60EB">
        <w:rPr>
          <w:color w:val="FF0000"/>
        </w:rPr>
        <w:t xml:space="preserve"> of students require)</w:t>
      </w:r>
      <w:r w:rsidRPr="003A60EB">
        <w:rPr>
          <w:color w:val="FF0000"/>
        </w:rPr>
        <w:t>, chosen a topic</w:t>
      </w:r>
      <w:r w:rsidR="009E7EF0">
        <w:rPr>
          <w:color w:val="FF0000"/>
        </w:rPr>
        <w:t xml:space="preserve"> and a debate question</w:t>
      </w:r>
      <w:r w:rsidRPr="003A60EB">
        <w:rPr>
          <w:color w:val="FF0000"/>
        </w:rPr>
        <w:t xml:space="preserve">, and </w:t>
      </w:r>
      <w:r w:rsidR="00761DAB" w:rsidRPr="003A60EB">
        <w:rPr>
          <w:color w:val="FF0000"/>
        </w:rPr>
        <w:t xml:space="preserve">have begun to work on developing your arguments for your debate presentations.  </w:t>
      </w:r>
      <w:r w:rsidR="00AA19D6">
        <w:t xml:space="preserve">Your team </w:t>
      </w:r>
      <w:r w:rsidR="00761DAB">
        <w:t xml:space="preserve">will be assigned to </w:t>
      </w:r>
      <w:r w:rsidR="00AA19D6">
        <w:t>a debate slot</w:t>
      </w:r>
      <w:r w:rsidR="00761DAB">
        <w:t xml:space="preserve"> in the schedule by mutual agreement </w:t>
      </w:r>
      <w:r w:rsidR="00F94C09">
        <w:t xml:space="preserve">at this time.  </w:t>
      </w:r>
    </w:p>
    <w:p w:rsidR="00514A7B" w:rsidRPr="00514A7B" w:rsidRDefault="00514A7B" w:rsidP="00514A7B"/>
    <w:p w:rsidR="00514A7B" w:rsidRDefault="00514A7B" w:rsidP="00514A7B">
      <w:r w:rsidRPr="00514A7B">
        <w:t>On presenting a position in a debate; focus on making your position clear and then on providing an argument for it while countering the opposing arguments you judge important.  The most important preparation you can make for this assignment, once you have composed your argument, is practicing the presenting of it.  Hearing the sound of your own voice and, as you listen to yourself, assessing what you say for intelligibility, cogency, and economy (use enough words but not more words than you have to) is critical to getting your statement in shape and, importantly, crafting it to fit in a time frame</w:t>
      </w:r>
      <w:r w:rsidR="00716B0C">
        <w:t xml:space="preserve"> (time limits will be enforced)</w:t>
      </w:r>
      <w:r w:rsidRPr="00514A7B">
        <w:t xml:space="preserve">.  Your opening statements may be with or without visual aids (slides).  If you use slides, be sure they are a supplement to what you say, and not a mere repetition of your verbal message.  You are not conveying a text (what’s on the slides or, for that matter, whats on note cards—if at all possible, do not use notes during your debate presentation).  You are, if successful, persuading your hearers through your voice and presence and their attention should be fixed on you rather than on a screen.  </w:t>
      </w:r>
    </w:p>
    <w:p w:rsidR="00BC08CD" w:rsidRDefault="00BC08CD" w:rsidP="00514A7B"/>
    <w:p w:rsidR="00BC08CD" w:rsidRPr="00514A7B" w:rsidRDefault="00BC08CD" w:rsidP="00514A7B">
      <w:r>
        <w:t xml:space="preserve">For guidance on debate grading, see rubric document.  </w:t>
      </w:r>
      <w:r w:rsidR="00626BFD">
        <w:t xml:space="preserve">Important elements of your debate performance will include framing of the debate question, strength of your arguments, </w:t>
      </w:r>
      <w:r w:rsidR="00D92240">
        <w:t xml:space="preserve">vigor and </w:t>
      </w:r>
      <w:r w:rsidR="00D92240">
        <w:lastRenderedPageBreak/>
        <w:t xml:space="preserve">intelligibility of your </w:t>
      </w:r>
      <w:r w:rsidR="00626BFD">
        <w:t xml:space="preserve">presentation and delivery, economy and clarity of </w:t>
      </w:r>
      <w:r w:rsidR="00D92240">
        <w:t xml:space="preserve">your </w:t>
      </w:r>
      <w:r w:rsidR="00626BFD">
        <w:t>presentation</w:t>
      </w:r>
      <w:r w:rsidR="00D7171F">
        <w:t xml:space="preserve">, and engagement with opposing arguments.  </w:t>
      </w:r>
    </w:p>
    <w:p w:rsidR="00514A7B" w:rsidRPr="00514A7B" w:rsidRDefault="00514A7B" w:rsidP="00514A7B"/>
    <w:p w:rsidR="00514A7B" w:rsidRPr="00514A7B" w:rsidRDefault="00514A7B" w:rsidP="00514A7B"/>
    <w:p w:rsidR="00514A7B" w:rsidRPr="00514A7B" w:rsidRDefault="00514A7B" w:rsidP="00C34ADD">
      <w:pPr>
        <w:rPr>
          <w:b/>
        </w:rPr>
      </w:pPr>
      <w:r w:rsidRPr="00514A7B">
        <w:rPr>
          <w:b/>
        </w:rPr>
        <w:t xml:space="preserve">Calendar of Sessions and Reading Assignments </w:t>
      </w:r>
    </w:p>
    <w:p w:rsidR="00514A7B" w:rsidRDefault="00514A7B" w:rsidP="00C34ADD">
      <w:r>
        <w:t>Readings will be available on Canvas</w:t>
      </w:r>
      <w:r w:rsidR="00B046CF">
        <w:t xml:space="preserve"> in the “Modules” tab.  </w:t>
      </w:r>
    </w:p>
    <w:p w:rsidR="004871E6" w:rsidRDefault="004871E6" w:rsidP="00C34ADD"/>
    <w:p w:rsidR="004871E6" w:rsidRDefault="004871E6" w:rsidP="00C34ADD">
      <w:r>
        <w:t>For each session</w:t>
      </w:r>
      <w:r w:rsidR="004908C8">
        <w:t xml:space="preserve">, the </w:t>
      </w:r>
      <w:r>
        <w:t xml:space="preserve">readings assigned will often present contrasting perspectives on the session topic.  </w:t>
      </w:r>
      <w:r w:rsidR="00FC206E">
        <w:t xml:space="preserve">It will be important to do the readings before the sessions and to begin to think through the merits of the differing approaches to the session topic before the session.  I will begin each session with a presentation of varying length but if all goes well most of each session will be discussion rather than lecture.  </w:t>
      </w:r>
    </w:p>
    <w:p w:rsidR="00514A7B" w:rsidRDefault="00514A7B" w:rsidP="00C34ADD"/>
    <w:p w:rsidR="00514A7B" w:rsidRDefault="00514A7B" w:rsidP="00C34A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576"/>
        <w:gridCol w:w="3005"/>
        <w:gridCol w:w="2048"/>
      </w:tblGrid>
      <w:tr w:rsidR="00514A7B" w:rsidRPr="00514A7B" w:rsidTr="00BC1C9C">
        <w:tc>
          <w:tcPr>
            <w:tcW w:w="1947" w:type="dxa"/>
          </w:tcPr>
          <w:p w:rsidR="00514A7B" w:rsidRPr="00514A7B" w:rsidRDefault="00514A7B" w:rsidP="00514A7B">
            <w:pPr>
              <w:rPr>
                <w:b/>
              </w:rPr>
            </w:pPr>
          </w:p>
          <w:p w:rsidR="00514A7B" w:rsidRPr="00514A7B" w:rsidRDefault="00514A7B" w:rsidP="00514A7B">
            <w:pPr>
              <w:rPr>
                <w:b/>
              </w:rPr>
            </w:pPr>
            <w:r w:rsidRPr="00514A7B">
              <w:rPr>
                <w:b/>
              </w:rPr>
              <w:t>Session</w:t>
            </w:r>
          </w:p>
        </w:tc>
        <w:tc>
          <w:tcPr>
            <w:tcW w:w="2576" w:type="dxa"/>
            <w:shd w:val="clear" w:color="auto" w:fill="auto"/>
            <w:vAlign w:val="center"/>
          </w:tcPr>
          <w:p w:rsidR="00514A7B" w:rsidRPr="00514A7B" w:rsidRDefault="00514A7B" w:rsidP="00514A7B">
            <w:pPr>
              <w:rPr>
                <w:b/>
              </w:rPr>
            </w:pPr>
            <w:r w:rsidRPr="00514A7B">
              <w:rPr>
                <w:b/>
              </w:rPr>
              <w:t>Date and Topic</w:t>
            </w:r>
          </w:p>
        </w:tc>
        <w:tc>
          <w:tcPr>
            <w:tcW w:w="3005" w:type="dxa"/>
            <w:shd w:val="clear" w:color="auto" w:fill="auto"/>
            <w:vAlign w:val="center"/>
          </w:tcPr>
          <w:p w:rsidR="00514A7B" w:rsidRPr="00514A7B" w:rsidRDefault="00514A7B" w:rsidP="00514A7B">
            <w:pPr>
              <w:rPr>
                <w:b/>
              </w:rPr>
            </w:pPr>
            <w:r w:rsidRPr="00514A7B">
              <w:rPr>
                <w:b/>
              </w:rPr>
              <w:t>Readings</w:t>
            </w:r>
          </w:p>
        </w:tc>
        <w:tc>
          <w:tcPr>
            <w:tcW w:w="2048" w:type="dxa"/>
            <w:shd w:val="clear" w:color="auto" w:fill="auto"/>
            <w:vAlign w:val="center"/>
          </w:tcPr>
          <w:p w:rsidR="00514A7B" w:rsidRPr="00514A7B" w:rsidRDefault="00514A7B" w:rsidP="00514A7B">
            <w:pPr>
              <w:rPr>
                <w:b/>
              </w:rPr>
            </w:pPr>
          </w:p>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From Morality to Ethics</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w:t>
            </w:r>
          </w:p>
        </w:tc>
        <w:tc>
          <w:tcPr>
            <w:tcW w:w="2576" w:type="dxa"/>
            <w:shd w:val="clear" w:color="auto" w:fill="auto"/>
            <w:vAlign w:val="center"/>
          </w:tcPr>
          <w:p w:rsidR="00514A7B" w:rsidRPr="00514A7B" w:rsidRDefault="00514A7B" w:rsidP="00514A7B">
            <w:r w:rsidRPr="00514A7B">
              <w:t>August 26</w:t>
            </w:r>
            <w:r w:rsidRPr="00514A7B">
              <w:rPr>
                <w:vertAlign w:val="superscript"/>
              </w:rPr>
              <w:t>th</w:t>
            </w:r>
          </w:p>
          <w:p w:rsidR="00514A7B" w:rsidRPr="00514A7B" w:rsidRDefault="00514A7B" w:rsidP="00514A7B">
            <w:r w:rsidRPr="00514A7B">
              <w:t>Introduction; ethical theory and moral practice 1</w:t>
            </w:r>
          </w:p>
        </w:tc>
        <w:tc>
          <w:tcPr>
            <w:tcW w:w="3005" w:type="dxa"/>
            <w:shd w:val="clear" w:color="auto" w:fill="auto"/>
            <w:vAlign w:val="center"/>
          </w:tcPr>
          <w:p w:rsidR="00514A7B" w:rsidRPr="00514A7B" w:rsidRDefault="00514A7B" w:rsidP="00514A7B">
            <w:r w:rsidRPr="00514A7B">
              <w:t>Korsgaard “Excellence and Obligation; a concise history of western metaphysics” 1-5</w:t>
            </w:r>
          </w:p>
          <w:p w:rsidR="00514A7B" w:rsidRPr="00514A7B" w:rsidRDefault="00514A7B" w:rsidP="00514A7B">
            <w:r w:rsidRPr="00514A7B">
              <w:t>(during class</w:t>
            </w:r>
            <w:r w:rsidR="00D52270">
              <w:t xml:space="preserve"> if time</w:t>
            </w:r>
            <w:r w:rsidRPr="00514A7B">
              <w:t>)</w:t>
            </w:r>
          </w:p>
          <w:p w:rsidR="00514A7B" w:rsidRPr="00514A7B" w:rsidRDefault="00514A7B" w:rsidP="00514A7B"/>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w:t>
            </w:r>
          </w:p>
        </w:tc>
        <w:tc>
          <w:tcPr>
            <w:tcW w:w="2576" w:type="dxa"/>
            <w:shd w:val="clear" w:color="auto" w:fill="auto"/>
            <w:vAlign w:val="center"/>
          </w:tcPr>
          <w:p w:rsidR="00514A7B" w:rsidRPr="00514A7B" w:rsidRDefault="00514A7B" w:rsidP="00514A7B">
            <w:r w:rsidRPr="00514A7B">
              <w:t>August 28</w:t>
            </w:r>
            <w:r w:rsidRPr="00514A7B">
              <w:rPr>
                <w:vertAlign w:val="superscript"/>
              </w:rPr>
              <w:t>th</w:t>
            </w:r>
          </w:p>
          <w:p w:rsidR="00514A7B" w:rsidRPr="00514A7B" w:rsidRDefault="00514A7B" w:rsidP="00514A7B">
            <w:r w:rsidRPr="00514A7B">
              <w:t>Introduction ethical theory and moral practice 2</w:t>
            </w:r>
          </w:p>
        </w:tc>
        <w:tc>
          <w:tcPr>
            <w:tcW w:w="3005" w:type="dxa"/>
            <w:shd w:val="clear" w:color="auto" w:fill="auto"/>
            <w:vAlign w:val="center"/>
          </w:tcPr>
          <w:p w:rsidR="00514A7B" w:rsidRPr="00514A7B" w:rsidRDefault="00514A7B" w:rsidP="00514A7B">
            <w:r w:rsidRPr="00514A7B">
              <w:t>Singer, “About Ethics” 1-15</w:t>
            </w:r>
          </w:p>
          <w:p w:rsidR="00514A7B" w:rsidRPr="00514A7B" w:rsidRDefault="0055263A" w:rsidP="00514A7B">
            <w:r>
              <w:t>Gaita, “Introduction” 1; Ch 1 “Goodness beyond Virtue”</w:t>
            </w:r>
            <w:r w:rsidR="00F21AB1">
              <w:t xml:space="preserve"> </w:t>
            </w:r>
            <w:r w:rsidR="002907F1">
              <w:t xml:space="preserve">17-27.  </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Doctor and Patient; Professional Relations</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3</w:t>
            </w:r>
          </w:p>
        </w:tc>
        <w:tc>
          <w:tcPr>
            <w:tcW w:w="2576" w:type="dxa"/>
            <w:shd w:val="clear" w:color="auto" w:fill="auto"/>
            <w:vAlign w:val="center"/>
          </w:tcPr>
          <w:p w:rsidR="00514A7B" w:rsidRPr="00514A7B" w:rsidRDefault="00514A7B" w:rsidP="00514A7B">
            <w:r w:rsidRPr="00514A7B">
              <w:t>September 2</w:t>
            </w:r>
            <w:r w:rsidRPr="00514A7B">
              <w:rPr>
                <w:vertAlign w:val="superscript"/>
              </w:rPr>
              <w:t>nd</w:t>
            </w:r>
          </w:p>
          <w:p w:rsidR="00514A7B" w:rsidRPr="00514A7B" w:rsidRDefault="00514A7B" w:rsidP="00514A7B">
            <w:r w:rsidRPr="00514A7B">
              <w:t>Who is the patient</w:t>
            </w:r>
          </w:p>
        </w:tc>
        <w:tc>
          <w:tcPr>
            <w:tcW w:w="3005" w:type="dxa"/>
            <w:shd w:val="clear" w:color="auto" w:fill="auto"/>
            <w:vAlign w:val="center"/>
          </w:tcPr>
          <w:p w:rsidR="00514A7B" w:rsidRDefault="00C34260" w:rsidP="00514A7B">
            <w:r>
              <w:t>Singer, “All Animals are Equal” 103-115</w:t>
            </w:r>
          </w:p>
          <w:p w:rsidR="00C34260" w:rsidRPr="00514A7B" w:rsidRDefault="00C34260" w:rsidP="00514A7B">
            <w:r>
              <w:t>Hursthouse, “Beginning Lives Ch 3” 88-97, (97-100</w:t>
            </w:r>
            <w:r w:rsidR="00DD3566">
              <w:t xml:space="preserve"> passim</w:t>
            </w:r>
            <w:r>
              <w:t xml:space="preserve">), 101-107.  </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4</w:t>
            </w:r>
          </w:p>
        </w:tc>
        <w:tc>
          <w:tcPr>
            <w:tcW w:w="2576" w:type="dxa"/>
            <w:shd w:val="clear" w:color="auto" w:fill="auto"/>
            <w:vAlign w:val="center"/>
          </w:tcPr>
          <w:p w:rsidR="00514A7B" w:rsidRPr="00514A7B" w:rsidRDefault="00514A7B" w:rsidP="00514A7B">
            <w:r w:rsidRPr="00514A7B">
              <w:t>September 4</w:t>
            </w:r>
            <w:r w:rsidRPr="00514A7B">
              <w:rPr>
                <w:vertAlign w:val="superscript"/>
              </w:rPr>
              <w:t>th</w:t>
            </w:r>
            <w:r w:rsidRPr="00514A7B">
              <w:t xml:space="preserve"> </w:t>
            </w:r>
          </w:p>
          <w:p w:rsidR="00514A7B" w:rsidRPr="00514A7B" w:rsidRDefault="00514A7B" w:rsidP="00514A7B">
            <w:r w:rsidRPr="00514A7B">
              <w:t>The doctor-patient relationship</w:t>
            </w:r>
          </w:p>
        </w:tc>
        <w:tc>
          <w:tcPr>
            <w:tcW w:w="3005" w:type="dxa"/>
            <w:shd w:val="clear" w:color="auto" w:fill="auto"/>
            <w:vAlign w:val="center"/>
          </w:tcPr>
          <w:p w:rsidR="00726E12" w:rsidRDefault="00726E12" w:rsidP="00514A7B">
            <w:r>
              <w:t>Veatch, “Models for Ethical Medicine in a Revolutionary Age” 5-7</w:t>
            </w:r>
          </w:p>
          <w:p w:rsidR="00514A7B" w:rsidRPr="00514A7B" w:rsidRDefault="00726E12" w:rsidP="00514A7B">
            <w:r>
              <w:t xml:space="preserve">Emanuel, “Four Models of the Physician Patient Relationship” </w:t>
            </w:r>
            <w:r w:rsidR="00514A7B" w:rsidRPr="00514A7B">
              <w:t>2221-2226</w:t>
            </w:r>
          </w:p>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Approaches to Clinical Ethics</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5</w:t>
            </w:r>
          </w:p>
        </w:tc>
        <w:tc>
          <w:tcPr>
            <w:tcW w:w="2576" w:type="dxa"/>
            <w:shd w:val="clear" w:color="auto" w:fill="auto"/>
            <w:vAlign w:val="center"/>
          </w:tcPr>
          <w:p w:rsidR="00514A7B" w:rsidRPr="00514A7B" w:rsidRDefault="00514A7B" w:rsidP="00514A7B">
            <w:r w:rsidRPr="00514A7B">
              <w:t>September 9</w:t>
            </w:r>
            <w:r w:rsidRPr="00514A7B">
              <w:rPr>
                <w:vertAlign w:val="superscript"/>
              </w:rPr>
              <w:t>th</w:t>
            </w:r>
          </w:p>
          <w:p w:rsidR="00514A7B" w:rsidRPr="00514A7B" w:rsidRDefault="00514A7B" w:rsidP="00514A7B">
            <w:r w:rsidRPr="00514A7B">
              <w:t>Clinical ethics I</w:t>
            </w:r>
            <w:r w:rsidR="00EC0D3B">
              <w:t>; General Approaches</w:t>
            </w:r>
          </w:p>
        </w:tc>
        <w:tc>
          <w:tcPr>
            <w:tcW w:w="3005" w:type="dxa"/>
            <w:shd w:val="clear" w:color="auto" w:fill="auto"/>
            <w:vAlign w:val="center"/>
          </w:tcPr>
          <w:p w:rsidR="00514A7B" w:rsidRPr="00514A7B" w:rsidRDefault="00514A7B" w:rsidP="00514A7B">
            <w:r w:rsidRPr="00514A7B">
              <w:t>Markel, “I swear by Apollo—On Taking the Hippocratic Oath” 2026-</w:t>
            </w:r>
            <w:r w:rsidRPr="00514A7B">
              <w:lastRenderedPageBreak/>
              <w:t>2029</w:t>
            </w:r>
          </w:p>
          <w:p w:rsidR="00514A7B" w:rsidRPr="00514A7B" w:rsidRDefault="00514A7B" w:rsidP="00514A7B">
            <w:r w:rsidRPr="00514A7B">
              <w:t>Pellegrino, “Toward a Reconstruction of Medical Morality” 65-70</w:t>
            </w:r>
          </w:p>
          <w:p w:rsidR="00514A7B" w:rsidRPr="00514A7B" w:rsidRDefault="00514A7B" w:rsidP="00514A7B">
            <w:r w:rsidRPr="00514A7B">
              <w:t>Veatch, “Assessing Pellegrino” 72-75</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lastRenderedPageBreak/>
              <w:t>6</w:t>
            </w:r>
          </w:p>
        </w:tc>
        <w:tc>
          <w:tcPr>
            <w:tcW w:w="2576" w:type="dxa"/>
            <w:shd w:val="clear" w:color="auto" w:fill="auto"/>
            <w:vAlign w:val="center"/>
          </w:tcPr>
          <w:p w:rsidR="00E13FC8" w:rsidRDefault="00514A7B" w:rsidP="00514A7B">
            <w:r w:rsidRPr="00514A7B">
              <w:t>September 11</w:t>
            </w:r>
            <w:r w:rsidRPr="00514A7B">
              <w:rPr>
                <w:vertAlign w:val="superscript"/>
              </w:rPr>
              <w:t>th</w:t>
            </w:r>
            <w:r w:rsidR="00E13FC8" w:rsidRPr="00514A7B">
              <w:t xml:space="preserve"> </w:t>
            </w:r>
          </w:p>
          <w:p w:rsidR="00514A7B" w:rsidRPr="00514A7B" w:rsidRDefault="00E13FC8" w:rsidP="00514A7B">
            <w:r w:rsidRPr="00514A7B">
              <w:t>Clinical ethics 2</w:t>
            </w:r>
            <w:r>
              <w:t>; General Approaches</w:t>
            </w:r>
          </w:p>
        </w:tc>
        <w:tc>
          <w:tcPr>
            <w:tcW w:w="3005" w:type="dxa"/>
            <w:shd w:val="clear" w:color="auto" w:fill="auto"/>
            <w:vAlign w:val="center"/>
          </w:tcPr>
          <w:p w:rsidR="00570B76" w:rsidRPr="00514A7B" w:rsidRDefault="00570B76" w:rsidP="00570B76">
            <w:r w:rsidRPr="00514A7B">
              <w:t>Beauchamp, “The four principles approach to health care ethics” 35-49</w:t>
            </w:r>
          </w:p>
          <w:p w:rsidR="00514A7B" w:rsidRPr="00514A7B" w:rsidRDefault="00570B76" w:rsidP="00570B76">
            <w:r w:rsidRPr="00514A7B">
              <w:t>Engelhardt, “Beyond the Principles of Bioethcs” 1</w:t>
            </w:r>
            <w:r>
              <w:t>3-18</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7</w:t>
            </w:r>
          </w:p>
        </w:tc>
        <w:tc>
          <w:tcPr>
            <w:tcW w:w="2576" w:type="dxa"/>
            <w:shd w:val="clear" w:color="auto" w:fill="auto"/>
            <w:vAlign w:val="center"/>
          </w:tcPr>
          <w:p w:rsidR="00514A7B" w:rsidRPr="00514A7B" w:rsidRDefault="00514A7B" w:rsidP="00514A7B">
            <w:r w:rsidRPr="00514A7B">
              <w:t>September 1</w:t>
            </w:r>
            <w:r w:rsidR="005F4079">
              <w:t>6</w:t>
            </w:r>
            <w:r w:rsidRPr="00514A7B">
              <w:rPr>
                <w:vertAlign w:val="superscript"/>
              </w:rPr>
              <w:t>th</w:t>
            </w:r>
          </w:p>
          <w:p w:rsidR="00514A7B" w:rsidRPr="00514A7B" w:rsidRDefault="00514A7B" w:rsidP="00514A7B"/>
        </w:tc>
        <w:tc>
          <w:tcPr>
            <w:tcW w:w="3005" w:type="dxa"/>
            <w:shd w:val="clear" w:color="auto" w:fill="auto"/>
            <w:vAlign w:val="center"/>
          </w:tcPr>
          <w:p w:rsidR="00514A7B" w:rsidRPr="00514A7B" w:rsidRDefault="00570B76" w:rsidP="00514A7B">
            <w:r w:rsidRPr="00514A7B">
              <w:t>Exam 1</w:t>
            </w:r>
            <w:r>
              <w:t xml:space="preserve"> (covers sessions 1-5)</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Clinical Ethics in the Clinic</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8</w:t>
            </w:r>
          </w:p>
        </w:tc>
        <w:tc>
          <w:tcPr>
            <w:tcW w:w="2576" w:type="dxa"/>
            <w:shd w:val="clear" w:color="auto" w:fill="auto"/>
            <w:vAlign w:val="center"/>
          </w:tcPr>
          <w:p w:rsidR="00514A7B" w:rsidRPr="00514A7B" w:rsidRDefault="00514A7B" w:rsidP="00514A7B">
            <w:r w:rsidRPr="00514A7B">
              <w:t>September 18</w:t>
            </w:r>
            <w:r w:rsidRPr="00514A7B">
              <w:rPr>
                <w:vertAlign w:val="superscript"/>
              </w:rPr>
              <w:t>th</w:t>
            </w:r>
          </w:p>
          <w:p w:rsidR="00514A7B" w:rsidRPr="00514A7B" w:rsidRDefault="00514A7B" w:rsidP="00514A7B">
            <w:r w:rsidRPr="00514A7B">
              <w:t>Autonomy and Paternalism</w:t>
            </w:r>
          </w:p>
          <w:p w:rsidR="00514A7B" w:rsidRPr="00514A7B" w:rsidRDefault="00514A7B" w:rsidP="00514A7B"/>
        </w:tc>
        <w:tc>
          <w:tcPr>
            <w:tcW w:w="3005" w:type="dxa"/>
            <w:shd w:val="clear" w:color="auto" w:fill="auto"/>
            <w:vAlign w:val="center"/>
          </w:tcPr>
          <w:p w:rsidR="00514A7B" w:rsidRPr="00514A7B" w:rsidRDefault="00514A7B" w:rsidP="00514A7B">
            <w:r w:rsidRPr="00514A7B">
              <w:t xml:space="preserve">Berlin, “Two Concepts of Liberty” (excerpt) </w:t>
            </w:r>
          </w:p>
          <w:p w:rsidR="00514A7B" w:rsidRPr="00514A7B" w:rsidRDefault="00514A7B" w:rsidP="00514A7B">
            <w:r w:rsidRPr="00514A7B">
              <w:t xml:space="preserve">   Negative freedom 168-171</w:t>
            </w:r>
          </w:p>
          <w:p w:rsidR="00514A7B" w:rsidRPr="00514A7B" w:rsidRDefault="00514A7B" w:rsidP="00514A7B">
            <w:r w:rsidRPr="00514A7B">
              <w:t xml:space="preserve">   Positive freedom 178-181</w:t>
            </w:r>
          </w:p>
          <w:p w:rsidR="00514A7B" w:rsidRPr="00514A7B" w:rsidRDefault="00514A7B" w:rsidP="00514A7B">
            <w:r w:rsidRPr="00514A7B">
              <w:t>Cassell, “The Function of Medicine” 16-19</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9</w:t>
            </w:r>
          </w:p>
        </w:tc>
        <w:tc>
          <w:tcPr>
            <w:tcW w:w="2576" w:type="dxa"/>
            <w:shd w:val="clear" w:color="auto" w:fill="auto"/>
            <w:vAlign w:val="center"/>
          </w:tcPr>
          <w:p w:rsidR="00514A7B" w:rsidRPr="00514A7B" w:rsidRDefault="00514A7B" w:rsidP="00514A7B">
            <w:r w:rsidRPr="00514A7B">
              <w:t>September 23</w:t>
            </w:r>
            <w:r w:rsidRPr="00514A7B">
              <w:rPr>
                <w:vertAlign w:val="superscript"/>
              </w:rPr>
              <w:t>rd</w:t>
            </w:r>
            <w:r w:rsidRPr="00514A7B">
              <w:t xml:space="preserve">   </w:t>
            </w:r>
          </w:p>
          <w:p w:rsidR="00514A7B" w:rsidRPr="00514A7B" w:rsidRDefault="00514A7B" w:rsidP="00514A7B">
            <w:r w:rsidRPr="00514A7B">
              <w:t>Consent</w:t>
            </w:r>
          </w:p>
        </w:tc>
        <w:tc>
          <w:tcPr>
            <w:tcW w:w="3005" w:type="dxa"/>
            <w:shd w:val="clear" w:color="auto" w:fill="auto"/>
            <w:vAlign w:val="center"/>
          </w:tcPr>
          <w:p w:rsidR="00514A7B" w:rsidRPr="00514A7B" w:rsidRDefault="00514A7B" w:rsidP="00514A7B">
            <w:r w:rsidRPr="00514A7B">
              <w:t xml:space="preserve">Beauchamp, “Informed </w:t>
            </w:r>
            <w:r w:rsidR="005E3331">
              <w:t>Beauchamp “</w:t>
            </w:r>
            <w:r w:rsidRPr="00514A7B">
              <w:t>Consent: Its History, Meaning, and</w:t>
            </w:r>
          </w:p>
          <w:p w:rsidR="00514A7B" w:rsidRPr="00514A7B" w:rsidRDefault="00514A7B" w:rsidP="00514A7B">
            <w:r w:rsidRPr="00514A7B">
              <w:t>Present Challenges” 515-518 (excerpt)</w:t>
            </w:r>
          </w:p>
          <w:p w:rsidR="00514A7B" w:rsidRPr="00514A7B" w:rsidRDefault="00514A7B" w:rsidP="00514A7B">
            <w:r w:rsidRPr="00514A7B">
              <w:t>ONeill, “Some limits of informed consent” 103-106</w:t>
            </w:r>
          </w:p>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10</w:t>
            </w:r>
          </w:p>
        </w:tc>
        <w:tc>
          <w:tcPr>
            <w:tcW w:w="2576" w:type="dxa"/>
            <w:shd w:val="clear" w:color="auto" w:fill="auto"/>
            <w:vAlign w:val="center"/>
          </w:tcPr>
          <w:p w:rsidR="00514A7B" w:rsidRPr="00514A7B" w:rsidRDefault="00514A7B" w:rsidP="00514A7B">
            <w:r w:rsidRPr="00514A7B">
              <w:t>September 25</w:t>
            </w:r>
            <w:r w:rsidRPr="00514A7B">
              <w:rPr>
                <w:vertAlign w:val="superscript"/>
              </w:rPr>
              <w:t>th</w:t>
            </w:r>
            <w:r w:rsidRPr="00514A7B">
              <w:t xml:space="preserve"> </w:t>
            </w:r>
          </w:p>
          <w:p w:rsidR="00514A7B" w:rsidRPr="00514A7B" w:rsidRDefault="00514A7B" w:rsidP="00514A7B">
            <w:r w:rsidRPr="00514A7B">
              <w:t>Truth Telling 1</w:t>
            </w:r>
          </w:p>
        </w:tc>
        <w:tc>
          <w:tcPr>
            <w:tcW w:w="3005" w:type="dxa"/>
            <w:shd w:val="clear" w:color="auto" w:fill="auto"/>
            <w:vAlign w:val="center"/>
          </w:tcPr>
          <w:p w:rsidR="00514A7B" w:rsidRPr="00514A7B" w:rsidRDefault="00514A7B" w:rsidP="00514A7B">
            <w:r w:rsidRPr="00514A7B">
              <w:t>MacIntyre, “truthfulness lies and moral philosophers” 309-318 (excerpt)</w:t>
            </w:r>
          </w:p>
          <w:p w:rsidR="00514A7B" w:rsidRPr="00514A7B" w:rsidRDefault="00514A7B" w:rsidP="00514A7B">
            <w:r w:rsidRPr="00514A7B">
              <w:t>Harris, “Lying” 1-23</w:t>
            </w:r>
          </w:p>
          <w:p w:rsidR="00514A7B" w:rsidRPr="00514A7B" w:rsidRDefault="00514A7B" w:rsidP="00514A7B">
            <w:r w:rsidRPr="00514A7B">
              <w:t>Solomon, “Is it ever right to lie?” 1-5</w:t>
            </w:r>
          </w:p>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11</w:t>
            </w:r>
          </w:p>
        </w:tc>
        <w:tc>
          <w:tcPr>
            <w:tcW w:w="2576" w:type="dxa"/>
            <w:shd w:val="clear" w:color="auto" w:fill="auto"/>
            <w:vAlign w:val="center"/>
          </w:tcPr>
          <w:p w:rsidR="00514A7B" w:rsidRPr="00514A7B" w:rsidRDefault="00514A7B" w:rsidP="00514A7B">
            <w:r w:rsidRPr="00514A7B">
              <w:t>September 30</w:t>
            </w:r>
            <w:r w:rsidRPr="00514A7B">
              <w:rPr>
                <w:vertAlign w:val="superscript"/>
              </w:rPr>
              <w:t>th</w:t>
            </w:r>
            <w:r w:rsidRPr="00514A7B">
              <w:t xml:space="preserve"> </w:t>
            </w:r>
          </w:p>
          <w:p w:rsidR="00514A7B" w:rsidRPr="00514A7B" w:rsidRDefault="00514A7B" w:rsidP="00514A7B">
            <w:r w:rsidRPr="00514A7B">
              <w:t>Truth Telling 2</w:t>
            </w:r>
          </w:p>
        </w:tc>
        <w:tc>
          <w:tcPr>
            <w:tcW w:w="3005" w:type="dxa"/>
            <w:shd w:val="clear" w:color="auto" w:fill="auto"/>
            <w:vAlign w:val="center"/>
          </w:tcPr>
          <w:p w:rsidR="00514A7B" w:rsidRPr="00514A7B" w:rsidRDefault="00514A7B" w:rsidP="00514A7B">
            <w:r w:rsidRPr="00514A7B">
              <w:t>Sokol, “how the doctors nose has shortened” 632-636</w:t>
            </w:r>
          </w:p>
          <w:p w:rsidR="00514A7B" w:rsidRPr="00514A7B" w:rsidRDefault="00514A7B" w:rsidP="00514A7B">
            <w:r w:rsidRPr="00514A7B">
              <w:t>Tavaglione/Hurst; “Why physicians ought to lie for their patients” 4-12</w:t>
            </w:r>
          </w:p>
          <w:p w:rsidR="00514A7B" w:rsidRPr="00514A7B" w:rsidRDefault="00514A7B" w:rsidP="00514A7B">
            <w:r w:rsidRPr="00514A7B">
              <w:t>Huddle, “Honesty is an internal norm of medical practice” 15-17</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Life and Death</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lastRenderedPageBreak/>
              <w:t>12</w:t>
            </w:r>
          </w:p>
        </w:tc>
        <w:tc>
          <w:tcPr>
            <w:tcW w:w="2576" w:type="dxa"/>
            <w:shd w:val="clear" w:color="auto" w:fill="auto"/>
            <w:vAlign w:val="center"/>
          </w:tcPr>
          <w:p w:rsidR="00514A7B" w:rsidRPr="00514A7B" w:rsidRDefault="00514A7B" w:rsidP="00514A7B">
            <w:r w:rsidRPr="00514A7B">
              <w:t>October 2</w:t>
            </w:r>
            <w:r w:rsidRPr="00514A7B">
              <w:rPr>
                <w:vertAlign w:val="superscript"/>
              </w:rPr>
              <w:t>nd</w:t>
            </w:r>
            <w:r w:rsidRPr="00514A7B">
              <w:t xml:space="preserve"> </w:t>
            </w:r>
          </w:p>
          <w:p w:rsidR="00514A7B" w:rsidRPr="00514A7B" w:rsidRDefault="00514A7B" w:rsidP="00514A7B">
            <w:r w:rsidRPr="00514A7B">
              <w:t>Withholding Life Sustaining Treatment; DNR orders</w:t>
            </w:r>
          </w:p>
        </w:tc>
        <w:tc>
          <w:tcPr>
            <w:tcW w:w="3005" w:type="dxa"/>
            <w:shd w:val="clear" w:color="auto" w:fill="auto"/>
            <w:vAlign w:val="center"/>
          </w:tcPr>
          <w:p w:rsidR="00514A7B" w:rsidRPr="00514A7B" w:rsidRDefault="00514A7B" w:rsidP="00514A7B">
            <w:r w:rsidRPr="00514A7B">
              <w:t>Rachels, “Active and passive euthanasia” 78-80</w:t>
            </w:r>
          </w:p>
          <w:p w:rsidR="00514A7B" w:rsidRPr="00514A7B" w:rsidRDefault="00514A7B" w:rsidP="00514A7B">
            <w:r w:rsidRPr="00514A7B">
              <w:t>Clouser, “Allowing or Causisng: Another Look” 622-624</w:t>
            </w:r>
          </w:p>
          <w:p w:rsidR="00514A7B" w:rsidRPr="00514A7B" w:rsidRDefault="00514A7B" w:rsidP="00514A7B">
            <w:pPr>
              <w:rPr>
                <w:b/>
              </w:rPr>
            </w:pPr>
            <w:r w:rsidRPr="00514A7B">
              <w:t>CEJA “reply to letters” 471</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13</w:t>
            </w:r>
          </w:p>
        </w:tc>
        <w:tc>
          <w:tcPr>
            <w:tcW w:w="2576" w:type="dxa"/>
            <w:shd w:val="clear" w:color="auto" w:fill="auto"/>
            <w:vAlign w:val="center"/>
          </w:tcPr>
          <w:p w:rsidR="00514A7B" w:rsidRPr="00514A7B" w:rsidRDefault="00514A7B" w:rsidP="00514A7B">
            <w:r w:rsidRPr="00514A7B">
              <w:t>October 7</w:t>
            </w:r>
            <w:r w:rsidRPr="00514A7B">
              <w:rPr>
                <w:vertAlign w:val="superscript"/>
              </w:rPr>
              <w:t>th</w:t>
            </w:r>
          </w:p>
        </w:tc>
        <w:tc>
          <w:tcPr>
            <w:tcW w:w="3005" w:type="dxa"/>
            <w:shd w:val="clear" w:color="auto" w:fill="auto"/>
            <w:vAlign w:val="center"/>
          </w:tcPr>
          <w:p w:rsidR="00514A7B" w:rsidRPr="00514A7B" w:rsidRDefault="00514A7B" w:rsidP="00514A7B">
            <w:r w:rsidRPr="00514A7B">
              <w:t>Exam 2</w:t>
            </w:r>
            <w:r w:rsidR="00801BE1">
              <w:t xml:space="preserve"> (covers sessions 6</w:t>
            </w:r>
            <w:r w:rsidR="00C2240C">
              <w:t>-</w:t>
            </w:r>
            <w:r w:rsidR="00D44733">
              <w:t>11</w:t>
            </w:r>
            <w:r w:rsidR="00B507E4">
              <w:t>)</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14</w:t>
            </w:r>
          </w:p>
        </w:tc>
        <w:tc>
          <w:tcPr>
            <w:tcW w:w="2576" w:type="dxa"/>
            <w:shd w:val="clear" w:color="auto" w:fill="auto"/>
            <w:vAlign w:val="center"/>
          </w:tcPr>
          <w:p w:rsidR="00514A7B" w:rsidRPr="00514A7B" w:rsidRDefault="00514A7B" w:rsidP="00514A7B">
            <w:r w:rsidRPr="00514A7B">
              <w:t>October 9</w:t>
            </w:r>
            <w:r w:rsidRPr="00514A7B">
              <w:rPr>
                <w:vertAlign w:val="superscript"/>
              </w:rPr>
              <w:t>th</w:t>
            </w:r>
          </w:p>
          <w:p w:rsidR="00514A7B" w:rsidRPr="00514A7B" w:rsidRDefault="00514A7B" w:rsidP="00514A7B">
            <w:r w:rsidRPr="00514A7B">
              <w:t>Physician Assisted Suicide</w:t>
            </w:r>
            <w:r w:rsidR="007E2148">
              <w:t xml:space="preserve"> 1</w:t>
            </w:r>
          </w:p>
        </w:tc>
        <w:tc>
          <w:tcPr>
            <w:tcW w:w="3005" w:type="dxa"/>
            <w:shd w:val="clear" w:color="auto" w:fill="auto"/>
            <w:vAlign w:val="center"/>
          </w:tcPr>
          <w:p w:rsidR="00514A7B" w:rsidRPr="00514A7B" w:rsidRDefault="00514A7B" w:rsidP="00514A7B">
            <w:r w:rsidRPr="00514A7B">
              <w:t xml:space="preserve">RF Holland, “Suicide” 72-85.  </w:t>
            </w:r>
          </w:p>
          <w:p w:rsidR="00514A7B" w:rsidRPr="00514A7B" w:rsidRDefault="00514A7B" w:rsidP="00514A7B">
            <w:r w:rsidRPr="00514A7B">
              <w:t>Miller/Brody, “professional integrity and physician assisted death” 12-17 (excerpt)</w:t>
            </w:r>
          </w:p>
          <w:p w:rsidR="00514A7B" w:rsidRPr="00514A7B" w:rsidRDefault="00514A7B" w:rsidP="00514A7B">
            <w:r w:rsidRPr="00514A7B">
              <w:t>Kass, I will give no deadly drug” 17-21, 32-40</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15</w:t>
            </w:r>
          </w:p>
        </w:tc>
        <w:tc>
          <w:tcPr>
            <w:tcW w:w="2576" w:type="dxa"/>
            <w:shd w:val="clear" w:color="auto" w:fill="auto"/>
            <w:vAlign w:val="center"/>
          </w:tcPr>
          <w:p w:rsidR="00514A7B" w:rsidRPr="00514A7B" w:rsidRDefault="00514A7B" w:rsidP="00514A7B">
            <w:r w:rsidRPr="00514A7B">
              <w:t>October 14</w:t>
            </w:r>
            <w:r w:rsidRPr="00514A7B">
              <w:rPr>
                <w:vertAlign w:val="superscript"/>
              </w:rPr>
              <w:t>th</w:t>
            </w:r>
          </w:p>
          <w:p w:rsidR="00514A7B" w:rsidRPr="00514A7B" w:rsidRDefault="007E2148" w:rsidP="00514A7B">
            <w:r>
              <w:t>Physician Assisted Suicide 2</w:t>
            </w:r>
          </w:p>
        </w:tc>
        <w:tc>
          <w:tcPr>
            <w:tcW w:w="3005" w:type="dxa"/>
            <w:shd w:val="clear" w:color="auto" w:fill="auto"/>
            <w:vAlign w:val="center"/>
          </w:tcPr>
          <w:p w:rsidR="00EC0D3B" w:rsidRPr="00514A7B" w:rsidRDefault="00EC0D3B" w:rsidP="00514A7B"/>
        </w:tc>
        <w:tc>
          <w:tcPr>
            <w:tcW w:w="2048" w:type="dxa"/>
            <w:shd w:val="clear" w:color="auto" w:fill="auto"/>
            <w:vAlign w:val="center"/>
          </w:tcPr>
          <w:p w:rsidR="00514A7B" w:rsidRPr="00514A7B" w:rsidRDefault="00514A7B" w:rsidP="00514A7B"/>
        </w:tc>
      </w:tr>
      <w:tr w:rsidR="007E2148" w:rsidRPr="00514A7B" w:rsidTr="00BC1C9C">
        <w:tc>
          <w:tcPr>
            <w:tcW w:w="1947" w:type="dxa"/>
          </w:tcPr>
          <w:p w:rsidR="007E2148" w:rsidRPr="00514A7B" w:rsidRDefault="00C7792A" w:rsidP="00514A7B">
            <w:r>
              <w:t>16</w:t>
            </w:r>
          </w:p>
        </w:tc>
        <w:tc>
          <w:tcPr>
            <w:tcW w:w="2576" w:type="dxa"/>
            <w:shd w:val="clear" w:color="auto" w:fill="auto"/>
            <w:vAlign w:val="center"/>
          </w:tcPr>
          <w:p w:rsidR="007E2148" w:rsidRDefault="00227016" w:rsidP="00514A7B">
            <w:r>
              <w:t>October 16</w:t>
            </w:r>
            <w:r w:rsidRPr="00227016">
              <w:rPr>
                <w:vertAlign w:val="superscript"/>
              </w:rPr>
              <w:t>th</w:t>
            </w:r>
          </w:p>
          <w:p w:rsidR="00227016" w:rsidRPr="00514A7B" w:rsidRDefault="00227016" w:rsidP="00514A7B">
            <w:r>
              <w:t>Brain Death and Organ Transplantation</w:t>
            </w:r>
          </w:p>
        </w:tc>
        <w:tc>
          <w:tcPr>
            <w:tcW w:w="3005" w:type="dxa"/>
            <w:shd w:val="clear" w:color="auto" w:fill="auto"/>
            <w:vAlign w:val="center"/>
          </w:tcPr>
          <w:p w:rsidR="00227016" w:rsidRPr="00514A7B" w:rsidRDefault="00227016" w:rsidP="00227016">
            <w:r w:rsidRPr="00514A7B">
              <w:t>HMS Committee, “A Definition of Irreversible Coma” 337-340</w:t>
            </w:r>
          </w:p>
          <w:p w:rsidR="00227016" w:rsidRDefault="00227016" w:rsidP="00227016">
            <w:r>
              <w:t>Shaw, “The body as unwarranted life support” 519-521</w:t>
            </w:r>
          </w:p>
          <w:p w:rsidR="007E2148" w:rsidRPr="00514A7B" w:rsidRDefault="00227016" w:rsidP="00227016">
            <w:r>
              <w:t>McGee, “Me and my Body” 671-676</w:t>
            </w:r>
          </w:p>
        </w:tc>
        <w:tc>
          <w:tcPr>
            <w:tcW w:w="2048" w:type="dxa"/>
            <w:shd w:val="clear" w:color="auto" w:fill="auto"/>
            <w:vAlign w:val="center"/>
          </w:tcPr>
          <w:p w:rsidR="007E2148" w:rsidRPr="00514A7B" w:rsidRDefault="007E2148" w:rsidP="00514A7B"/>
        </w:tc>
      </w:tr>
      <w:tr w:rsidR="00514A7B" w:rsidRPr="00514A7B" w:rsidTr="00BC1C9C">
        <w:tc>
          <w:tcPr>
            <w:tcW w:w="1947" w:type="dxa"/>
          </w:tcPr>
          <w:p w:rsidR="00514A7B" w:rsidRPr="00514A7B" w:rsidRDefault="00C7792A" w:rsidP="00514A7B">
            <w:r>
              <w:t>17</w:t>
            </w:r>
          </w:p>
        </w:tc>
        <w:tc>
          <w:tcPr>
            <w:tcW w:w="2576" w:type="dxa"/>
            <w:shd w:val="clear" w:color="auto" w:fill="auto"/>
            <w:vAlign w:val="center"/>
          </w:tcPr>
          <w:p w:rsidR="00514A7B" w:rsidRPr="00514A7B" w:rsidRDefault="00227016" w:rsidP="00514A7B">
            <w:r>
              <w:t>October 21</w:t>
            </w:r>
            <w:r w:rsidRPr="00227016">
              <w:rPr>
                <w:vertAlign w:val="superscript"/>
              </w:rPr>
              <w:t>st</w:t>
            </w:r>
            <w:r>
              <w:t xml:space="preserve"> </w:t>
            </w:r>
            <w:r w:rsidR="00514A7B" w:rsidRPr="00514A7B">
              <w:t xml:space="preserve"> </w:t>
            </w:r>
          </w:p>
          <w:p w:rsidR="00514A7B" w:rsidRPr="00514A7B" w:rsidRDefault="00514A7B" w:rsidP="00514A7B">
            <w:r w:rsidRPr="00514A7B">
              <w:t>Abortion</w:t>
            </w:r>
          </w:p>
        </w:tc>
        <w:tc>
          <w:tcPr>
            <w:tcW w:w="3005" w:type="dxa"/>
            <w:shd w:val="clear" w:color="auto" w:fill="auto"/>
            <w:vAlign w:val="center"/>
          </w:tcPr>
          <w:p w:rsidR="00514A7B" w:rsidRPr="00514A7B" w:rsidRDefault="00514A7B" w:rsidP="00514A7B">
            <w:r w:rsidRPr="00514A7B">
              <w:t>Little, “The Moral Permissibility of Abortion” 27-38</w:t>
            </w:r>
          </w:p>
          <w:p w:rsidR="00514A7B" w:rsidRPr="00514A7B" w:rsidRDefault="00514A7B" w:rsidP="00514A7B">
            <w:r w:rsidRPr="00514A7B">
              <w:t>Lee/George, “The Wrong of Abortion” 13-24</w:t>
            </w:r>
          </w:p>
          <w:p w:rsidR="00514A7B" w:rsidRPr="00514A7B" w:rsidRDefault="00514A7B" w:rsidP="00514A7B">
            <w:r w:rsidRPr="00514A7B">
              <w:t>Imber, “Abortion Policy and Medical Practice” 27-34</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r w:rsidRPr="00514A7B">
              <w:rPr>
                <w:b/>
              </w:rPr>
              <w:t>Medicine and Society</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C7792A" w:rsidP="00514A7B">
            <w:r>
              <w:t>18</w:t>
            </w:r>
          </w:p>
        </w:tc>
        <w:tc>
          <w:tcPr>
            <w:tcW w:w="2576" w:type="dxa"/>
            <w:shd w:val="clear" w:color="auto" w:fill="auto"/>
            <w:vAlign w:val="center"/>
          </w:tcPr>
          <w:p w:rsidR="00514A7B" w:rsidRPr="00514A7B" w:rsidRDefault="00D66D3F" w:rsidP="00514A7B">
            <w:pPr>
              <w:rPr>
                <w:vertAlign w:val="superscript"/>
              </w:rPr>
            </w:pPr>
            <w:r>
              <w:t>October 23</w:t>
            </w:r>
            <w:r w:rsidRPr="00D66D3F">
              <w:rPr>
                <w:vertAlign w:val="superscript"/>
              </w:rPr>
              <w:t>rd</w:t>
            </w:r>
            <w:r>
              <w:t xml:space="preserve"> </w:t>
            </w:r>
          </w:p>
          <w:p w:rsidR="00514A7B" w:rsidRPr="00514A7B" w:rsidRDefault="00514A7B" w:rsidP="00514A7B">
            <w:r w:rsidRPr="00514A7B">
              <w:t>What does the Profession Owe Society?</w:t>
            </w:r>
          </w:p>
        </w:tc>
        <w:tc>
          <w:tcPr>
            <w:tcW w:w="3005" w:type="dxa"/>
            <w:shd w:val="clear" w:color="auto" w:fill="auto"/>
            <w:vAlign w:val="center"/>
          </w:tcPr>
          <w:p w:rsidR="00514A7B" w:rsidRPr="00514A7B" w:rsidRDefault="00514A7B" w:rsidP="00514A7B">
            <w:r w:rsidRPr="00514A7B">
              <w:t>Paul “Medical Training in the Malestrom: the Call to Physician Advocacy” 1071-1073</w:t>
            </w:r>
          </w:p>
          <w:p w:rsidR="00514A7B" w:rsidRPr="00514A7B" w:rsidRDefault="00514A7B" w:rsidP="00514A7B">
            <w:r w:rsidRPr="00514A7B">
              <w:t xml:space="preserve">Huddle, “Against Incorporating Politics into Medical Professionalism” </w:t>
            </w:r>
            <w:r w:rsidR="008050F4">
              <w:t>(excerpt; pages tbd)</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C7792A" w:rsidP="00514A7B">
            <w:r>
              <w:t>19</w:t>
            </w:r>
          </w:p>
        </w:tc>
        <w:tc>
          <w:tcPr>
            <w:tcW w:w="2576" w:type="dxa"/>
            <w:shd w:val="clear" w:color="auto" w:fill="auto"/>
            <w:vAlign w:val="center"/>
          </w:tcPr>
          <w:p w:rsidR="00514A7B" w:rsidRPr="00514A7B" w:rsidRDefault="00D66D3F" w:rsidP="00514A7B">
            <w:r>
              <w:t>October 28</w:t>
            </w:r>
            <w:r w:rsidRPr="00D66D3F">
              <w:rPr>
                <w:vertAlign w:val="superscript"/>
              </w:rPr>
              <w:t>th</w:t>
            </w:r>
            <w:r>
              <w:t xml:space="preserve"> </w:t>
            </w:r>
          </w:p>
          <w:p w:rsidR="00514A7B" w:rsidRPr="00514A7B" w:rsidRDefault="00514A7B" w:rsidP="00514A7B">
            <w:r w:rsidRPr="00514A7B">
              <w:t>Justice in Society</w:t>
            </w:r>
          </w:p>
        </w:tc>
        <w:tc>
          <w:tcPr>
            <w:tcW w:w="3005" w:type="dxa"/>
            <w:shd w:val="clear" w:color="auto" w:fill="auto"/>
            <w:vAlign w:val="center"/>
          </w:tcPr>
          <w:p w:rsidR="00514A7B" w:rsidRPr="00514A7B" w:rsidRDefault="00514A7B" w:rsidP="00514A7B">
            <w:r w:rsidRPr="00514A7B">
              <w:t>Miller, “Political Philosophy: A Very Short Introduction” Ch 5 Justice 1-</w:t>
            </w:r>
            <w:r w:rsidRPr="00514A7B">
              <w:lastRenderedPageBreak/>
              <w:t>13</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p w:rsidR="00514A7B" w:rsidRPr="00514A7B" w:rsidRDefault="00514A7B" w:rsidP="00514A7B"/>
          <w:p w:rsidR="00514A7B" w:rsidRPr="00514A7B" w:rsidRDefault="00281259" w:rsidP="00514A7B">
            <w:r>
              <w:t>20</w:t>
            </w:r>
          </w:p>
        </w:tc>
        <w:tc>
          <w:tcPr>
            <w:tcW w:w="2576" w:type="dxa"/>
            <w:shd w:val="clear" w:color="auto" w:fill="auto"/>
            <w:vAlign w:val="center"/>
          </w:tcPr>
          <w:p w:rsidR="00514A7B" w:rsidRPr="00514A7B" w:rsidRDefault="00514A7B" w:rsidP="00514A7B"/>
          <w:p w:rsidR="00514A7B" w:rsidRPr="00514A7B" w:rsidRDefault="00514A7B" w:rsidP="00514A7B"/>
          <w:p w:rsidR="00514A7B" w:rsidRPr="00514A7B" w:rsidRDefault="00D66D3F" w:rsidP="00514A7B">
            <w:r>
              <w:t>October 30</w:t>
            </w:r>
            <w:r w:rsidRPr="00D66D3F">
              <w:rPr>
                <w:vertAlign w:val="superscript"/>
              </w:rPr>
              <w:t>th</w:t>
            </w:r>
            <w:r>
              <w:t xml:space="preserve"> </w:t>
            </w:r>
          </w:p>
          <w:p w:rsidR="00514A7B" w:rsidRPr="00514A7B" w:rsidRDefault="00514A7B" w:rsidP="00514A7B">
            <w:r w:rsidRPr="00514A7B">
              <w:t>Is</w:t>
            </w:r>
            <w:r w:rsidR="005E533A">
              <w:t xml:space="preserve"> Health Care a Human Right?  </w:t>
            </w:r>
          </w:p>
        </w:tc>
        <w:tc>
          <w:tcPr>
            <w:tcW w:w="3005" w:type="dxa"/>
            <w:shd w:val="clear" w:color="auto" w:fill="auto"/>
            <w:vAlign w:val="center"/>
          </w:tcPr>
          <w:p w:rsidR="00514A7B" w:rsidRPr="00514A7B" w:rsidRDefault="00514A7B" w:rsidP="00514A7B">
            <w:r w:rsidRPr="00514A7B">
              <w:t xml:space="preserve">Nickel, “Poverty and Rights” </w:t>
            </w:r>
            <w:r w:rsidR="00421782">
              <w:t xml:space="preserve">(excerpt) </w:t>
            </w:r>
            <w:r w:rsidRPr="00514A7B">
              <w:t>3</w:t>
            </w:r>
            <w:r w:rsidR="00421782">
              <w:t>90-401</w:t>
            </w:r>
          </w:p>
          <w:p w:rsidR="00514A7B" w:rsidRPr="00514A7B" w:rsidRDefault="00514A7B" w:rsidP="00514A7B">
            <w:r w:rsidRPr="00514A7B">
              <w:t xml:space="preserve">O’Neill, “The Dark Side of Human Rights” </w:t>
            </w:r>
            <w:r w:rsidR="000B1822">
              <w:t>(excerpt) 427-435</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p w:rsidR="00514A7B" w:rsidRPr="00514A7B" w:rsidRDefault="00281259" w:rsidP="00514A7B">
            <w:r>
              <w:t>21</w:t>
            </w:r>
          </w:p>
        </w:tc>
        <w:tc>
          <w:tcPr>
            <w:tcW w:w="2576" w:type="dxa"/>
            <w:shd w:val="clear" w:color="auto" w:fill="auto"/>
            <w:vAlign w:val="center"/>
          </w:tcPr>
          <w:p w:rsidR="00514A7B" w:rsidRPr="00514A7B" w:rsidRDefault="00514A7B" w:rsidP="00514A7B"/>
          <w:p w:rsidR="00514A7B" w:rsidRDefault="00281259" w:rsidP="00514A7B">
            <w:r>
              <w:t>November 4</w:t>
            </w:r>
            <w:r w:rsidRPr="00281259">
              <w:rPr>
                <w:vertAlign w:val="superscript"/>
              </w:rPr>
              <w:t>th</w:t>
            </w:r>
          </w:p>
          <w:p w:rsidR="00281259" w:rsidRPr="00514A7B" w:rsidRDefault="00281259" w:rsidP="00514A7B">
            <w:r>
              <w:t>Justice in Medicine; resource allocation during crisis</w:t>
            </w:r>
          </w:p>
        </w:tc>
        <w:tc>
          <w:tcPr>
            <w:tcW w:w="3005" w:type="dxa"/>
            <w:shd w:val="clear" w:color="auto" w:fill="auto"/>
            <w:vAlign w:val="center"/>
          </w:tcPr>
          <w:p w:rsidR="00514A7B" w:rsidRDefault="00D66AA6" w:rsidP="00514A7B">
            <w:r>
              <w:t>Emanuel, “Fair Allocation of Scarce Resources in the time of COVID-19” 1-7</w:t>
            </w:r>
          </w:p>
          <w:p w:rsidR="00D66AA6" w:rsidRPr="00514A7B" w:rsidRDefault="00D66AA6" w:rsidP="00514A7B">
            <w:r>
              <w:t xml:space="preserve">Sulmasy, “Is it ethically permissible to unilaterally withdraw life sustaining treatments during crisis standards of care?  No.” </w:t>
            </w:r>
            <w:r w:rsidR="007B0A25">
              <w:t>2167-2169</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7B0A25" w:rsidP="00514A7B">
            <w:r>
              <w:t>22</w:t>
            </w:r>
          </w:p>
        </w:tc>
        <w:tc>
          <w:tcPr>
            <w:tcW w:w="2576" w:type="dxa"/>
            <w:shd w:val="clear" w:color="auto" w:fill="auto"/>
            <w:vAlign w:val="center"/>
          </w:tcPr>
          <w:p w:rsidR="00514A7B" w:rsidRPr="00514A7B" w:rsidRDefault="007B0A25" w:rsidP="00514A7B">
            <w:r>
              <w:t>November 6</w:t>
            </w:r>
            <w:r w:rsidRPr="007B0A25">
              <w:rPr>
                <w:vertAlign w:val="superscript"/>
              </w:rPr>
              <w:t>th</w:t>
            </w:r>
            <w:r>
              <w:t xml:space="preserve"> </w:t>
            </w:r>
          </w:p>
        </w:tc>
        <w:tc>
          <w:tcPr>
            <w:tcW w:w="3005" w:type="dxa"/>
            <w:shd w:val="clear" w:color="auto" w:fill="auto"/>
            <w:vAlign w:val="center"/>
          </w:tcPr>
          <w:p w:rsidR="00514A7B" w:rsidRPr="00514A7B" w:rsidRDefault="00514A7B" w:rsidP="00514A7B">
            <w:pPr>
              <w:rPr>
                <w:b/>
              </w:rPr>
            </w:pPr>
            <w:r w:rsidRPr="00514A7B">
              <w:t>Exam 3</w:t>
            </w:r>
            <w:r w:rsidR="00224AAC">
              <w:t xml:space="preserve"> (covers sessions 12</w:t>
            </w:r>
            <w:r w:rsidR="00B507E4">
              <w:t>-16</w:t>
            </w:r>
            <w:r w:rsidR="00DC295F">
              <w:t>)</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B84FDB" w:rsidP="00514A7B">
            <w:r>
              <w:t>23</w:t>
            </w:r>
          </w:p>
        </w:tc>
        <w:tc>
          <w:tcPr>
            <w:tcW w:w="2576" w:type="dxa"/>
            <w:shd w:val="clear" w:color="auto" w:fill="auto"/>
            <w:vAlign w:val="center"/>
          </w:tcPr>
          <w:p w:rsidR="00514A7B" w:rsidRPr="00514A7B" w:rsidRDefault="007B0A25" w:rsidP="00514A7B">
            <w:r>
              <w:t>November 11</w:t>
            </w:r>
            <w:r w:rsidRPr="007B0A25">
              <w:rPr>
                <w:vertAlign w:val="superscript"/>
              </w:rPr>
              <w:t>th</w:t>
            </w:r>
            <w:r>
              <w:t xml:space="preserve"> </w:t>
            </w:r>
          </w:p>
          <w:p w:rsidR="00514A7B" w:rsidRPr="00514A7B" w:rsidRDefault="00514A7B" w:rsidP="00514A7B">
            <w:r w:rsidRPr="00514A7B">
              <w:t>Can a Profession be a Business?  Medicine and Money</w:t>
            </w:r>
          </w:p>
        </w:tc>
        <w:tc>
          <w:tcPr>
            <w:tcW w:w="3005" w:type="dxa"/>
            <w:shd w:val="clear" w:color="auto" w:fill="auto"/>
            <w:vAlign w:val="center"/>
          </w:tcPr>
          <w:p w:rsidR="00514A7B" w:rsidRPr="00514A7B" w:rsidRDefault="00514A7B" w:rsidP="00514A7B">
            <w:r w:rsidRPr="00514A7B">
              <w:t>Agich, “Medicine as Business and Profession” 311-323</w:t>
            </w:r>
          </w:p>
          <w:p w:rsidR="00514A7B" w:rsidRPr="00514A7B" w:rsidRDefault="00514A7B" w:rsidP="00514A7B">
            <w:r w:rsidRPr="00514A7B">
              <w:t>Sulmasy, “Whats so special about Medicine?” 311-323</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24</w:t>
            </w:r>
          </w:p>
        </w:tc>
        <w:tc>
          <w:tcPr>
            <w:tcW w:w="2576" w:type="dxa"/>
            <w:shd w:val="clear" w:color="auto" w:fill="auto"/>
            <w:vAlign w:val="center"/>
          </w:tcPr>
          <w:p w:rsidR="00514A7B" w:rsidRPr="00514A7B" w:rsidRDefault="00514A7B" w:rsidP="00514A7B">
            <w:r w:rsidRPr="00514A7B">
              <w:t>November 13</w:t>
            </w:r>
            <w:r w:rsidRPr="00514A7B">
              <w:rPr>
                <w:vertAlign w:val="superscript"/>
              </w:rPr>
              <w:t>th</w:t>
            </w:r>
          </w:p>
        </w:tc>
        <w:tc>
          <w:tcPr>
            <w:tcW w:w="3005" w:type="dxa"/>
            <w:shd w:val="clear" w:color="auto" w:fill="auto"/>
            <w:vAlign w:val="center"/>
          </w:tcPr>
          <w:p w:rsidR="00514A7B" w:rsidRPr="00514A7B" w:rsidRDefault="00514A7B" w:rsidP="00514A7B">
            <w:pPr>
              <w:rPr>
                <w:b/>
              </w:rPr>
            </w:pPr>
            <w:r w:rsidRPr="00514A7B">
              <w:t>Debate</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25</w:t>
            </w:r>
          </w:p>
        </w:tc>
        <w:tc>
          <w:tcPr>
            <w:tcW w:w="2576" w:type="dxa"/>
            <w:shd w:val="clear" w:color="auto" w:fill="auto"/>
            <w:vAlign w:val="center"/>
          </w:tcPr>
          <w:p w:rsidR="00514A7B" w:rsidRPr="00514A7B" w:rsidRDefault="00514A7B" w:rsidP="00514A7B">
            <w:r w:rsidRPr="00514A7B">
              <w:t>November 18</w:t>
            </w:r>
            <w:r w:rsidRPr="00514A7B">
              <w:rPr>
                <w:vertAlign w:val="superscript"/>
              </w:rPr>
              <w:t>th</w:t>
            </w:r>
          </w:p>
        </w:tc>
        <w:tc>
          <w:tcPr>
            <w:tcW w:w="3005" w:type="dxa"/>
            <w:shd w:val="clear" w:color="auto" w:fill="auto"/>
            <w:vAlign w:val="center"/>
          </w:tcPr>
          <w:p w:rsidR="00514A7B" w:rsidRPr="00514A7B" w:rsidRDefault="00514A7B" w:rsidP="00514A7B">
            <w:pPr>
              <w:rPr>
                <w:b/>
              </w:rPr>
            </w:pPr>
            <w:r w:rsidRPr="00514A7B">
              <w:t>Debate</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26</w:t>
            </w:r>
            <w:bookmarkStart w:id="0" w:name="_GoBack"/>
            <w:bookmarkEnd w:id="0"/>
          </w:p>
        </w:tc>
        <w:tc>
          <w:tcPr>
            <w:tcW w:w="2576" w:type="dxa"/>
            <w:shd w:val="clear" w:color="auto" w:fill="auto"/>
            <w:vAlign w:val="center"/>
          </w:tcPr>
          <w:p w:rsidR="00514A7B" w:rsidRPr="00514A7B" w:rsidRDefault="00514A7B" w:rsidP="00514A7B">
            <w:r w:rsidRPr="00514A7B">
              <w:t>November 20</w:t>
            </w:r>
            <w:r w:rsidRPr="00514A7B">
              <w:rPr>
                <w:vertAlign w:val="superscript"/>
              </w:rPr>
              <w:t>th</w:t>
            </w:r>
          </w:p>
        </w:tc>
        <w:tc>
          <w:tcPr>
            <w:tcW w:w="3005" w:type="dxa"/>
            <w:shd w:val="clear" w:color="auto" w:fill="auto"/>
            <w:vAlign w:val="center"/>
          </w:tcPr>
          <w:p w:rsidR="00514A7B" w:rsidRPr="00514A7B" w:rsidRDefault="00514A7B" w:rsidP="00514A7B">
            <w:pPr>
              <w:rPr>
                <w:b/>
              </w:rPr>
            </w:pPr>
            <w:r w:rsidRPr="00514A7B">
              <w:t>Debate</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r w:rsidRPr="00514A7B">
              <w:t>Thanksgiving week</w:t>
            </w:r>
          </w:p>
        </w:tc>
        <w:tc>
          <w:tcPr>
            <w:tcW w:w="3005" w:type="dxa"/>
            <w:shd w:val="clear" w:color="auto" w:fill="auto"/>
            <w:vAlign w:val="center"/>
          </w:tcPr>
          <w:p w:rsidR="00514A7B" w:rsidRPr="00514A7B" w:rsidRDefault="00514A7B" w:rsidP="00514A7B">
            <w:pPr>
              <w:rPr>
                <w:b/>
              </w:rPr>
            </w:pPr>
            <w:r w:rsidRPr="00514A7B">
              <w:rPr>
                <w:b/>
              </w:rPr>
              <w:t>Fall Break</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27</w:t>
            </w:r>
          </w:p>
        </w:tc>
        <w:tc>
          <w:tcPr>
            <w:tcW w:w="2576" w:type="dxa"/>
            <w:shd w:val="clear" w:color="auto" w:fill="auto"/>
            <w:vAlign w:val="center"/>
          </w:tcPr>
          <w:p w:rsidR="00514A7B" w:rsidRPr="00514A7B" w:rsidRDefault="00514A7B" w:rsidP="00514A7B">
            <w:r w:rsidRPr="00514A7B">
              <w:t>December 2</w:t>
            </w:r>
            <w:r w:rsidRPr="00514A7B">
              <w:rPr>
                <w:vertAlign w:val="superscript"/>
              </w:rPr>
              <w:t>nd</w:t>
            </w:r>
          </w:p>
        </w:tc>
        <w:tc>
          <w:tcPr>
            <w:tcW w:w="3005" w:type="dxa"/>
            <w:shd w:val="clear" w:color="auto" w:fill="auto"/>
            <w:vAlign w:val="center"/>
          </w:tcPr>
          <w:p w:rsidR="00514A7B" w:rsidRPr="00514A7B" w:rsidRDefault="00514A7B" w:rsidP="00514A7B">
            <w:pPr>
              <w:rPr>
                <w:b/>
              </w:rPr>
            </w:pPr>
            <w:r w:rsidRPr="00514A7B">
              <w:t>Debate</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28</w:t>
            </w:r>
          </w:p>
        </w:tc>
        <w:tc>
          <w:tcPr>
            <w:tcW w:w="2576" w:type="dxa"/>
            <w:shd w:val="clear" w:color="auto" w:fill="auto"/>
            <w:vAlign w:val="center"/>
          </w:tcPr>
          <w:p w:rsidR="00514A7B" w:rsidRPr="00514A7B" w:rsidRDefault="00514A7B" w:rsidP="00514A7B">
            <w:r w:rsidRPr="00514A7B">
              <w:t>December 4th</w:t>
            </w:r>
          </w:p>
        </w:tc>
        <w:tc>
          <w:tcPr>
            <w:tcW w:w="3005" w:type="dxa"/>
            <w:shd w:val="clear" w:color="auto" w:fill="auto"/>
            <w:vAlign w:val="center"/>
          </w:tcPr>
          <w:p w:rsidR="00514A7B" w:rsidRPr="00514A7B" w:rsidRDefault="00514A7B" w:rsidP="00514A7B">
            <w:r w:rsidRPr="00514A7B">
              <w:t>Debate</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pPr>
              <w:rPr>
                <w:b/>
              </w:rPr>
            </w:pP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r w:rsidRPr="00514A7B">
              <w:t>29</w:t>
            </w:r>
          </w:p>
        </w:tc>
        <w:tc>
          <w:tcPr>
            <w:tcW w:w="2576" w:type="dxa"/>
            <w:shd w:val="clear" w:color="auto" w:fill="auto"/>
            <w:vAlign w:val="center"/>
          </w:tcPr>
          <w:p w:rsidR="00514A7B" w:rsidRPr="00514A7B" w:rsidRDefault="00514A7B" w:rsidP="00514A7B">
            <w:r w:rsidRPr="00514A7B">
              <w:t>Finals week</w:t>
            </w:r>
          </w:p>
        </w:tc>
        <w:tc>
          <w:tcPr>
            <w:tcW w:w="3005" w:type="dxa"/>
            <w:shd w:val="clear" w:color="auto" w:fill="auto"/>
            <w:vAlign w:val="center"/>
          </w:tcPr>
          <w:p w:rsidR="00514A7B" w:rsidRPr="00514A7B" w:rsidRDefault="00514A7B" w:rsidP="00514A7B">
            <w:pPr>
              <w:rPr>
                <w:b/>
              </w:rPr>
            </w:pPr>
            <w:r w:rsidRPr="00514A7B">
              <w:t>Exam 4</w:t>
            </w:r>
            <w:r w:rsidR="00224AAC">
              <w:t xml:space="preserve"> (covers sessions 17-22)</w:t>
            </w:r>
          </w:p>
        </w:tc>
        <w:tc>
          <w:tcPr>
            <w:tcW w:w="2048" w:type="dxa"/>
            <w:shd w:val="clear" w:color="auto" w:fill="auto"/>
            <w:vAlign w:val="center"/>
          </w:tcPr>
          <w:p w:rsidR="00514A7B" w:rsidRPr="00514A7B" w:rsidRDefault="00514A7B" w:rsidP="00514A7B"/>
        </w:tc>
      </w:tr>
      <w:tr w:rsidR="00514A7B" w:rsidRPr="00514A7B" w:rsidTr="00BC1C9C">
        <w:tc>
          <w:tcPr>
            <w:tcW w:w="1947" w:type="dxa"/>
          </w:tcPr>
          <w:p w:rsidR="00514A7B" w:rsidRPr="00514A7B" w:rsidRDefault="00514A7B" w:rsidP="00514A7B"/>
        </w:tc>
        <w:tc>
          <w:tcPr>
            <w:tcW w:w="2576" w:type="dxa"/>
            <w:shd w:val="clear" w:color="auto" w:fill="auto"/>
            <w:vAlign w:val="center"/>
          </w:tcPr>
          <w:p w:rsidR="00514A7B" w:rsidRPr="00514A7B" w:rsidRDefault="00514A7B" w:rsidP="00514A7B"/>
        </w:tc>
        <w:tc>
          <w:tcPr>
            <w:tcW w:w="3005" w:type="dxa"/>
            <w:shd w:val="clear" w:color="auto" w:fill="auto"/>
            <w:vAlign w:val="center"/>
          </w:tcPr>
          <w:p w:rsidR="00514A7B" w:rsidRPr="00514A7B" w:rsidRDefault="00514A7B" w:rsidP="00514A7B"/>
        </w:tc>
        <w:tc>
          <w:tcPr>
            <w:tcW w:w="2048" w:type="dxa"/>
            <w:shd w:val="clear" w:color="auto" w:fill="auto"/>
            <w:vAlign w:val="center"/>
          </w:tcPr>
          <w:p w:rsidR="00514A7B" w:rsidRPr="00514A7B" w:rsidRDefault="00514A7B" w:rsidP="00514A7B"/>
        </w:tc>
      </w:tr>
      <w:tr w:rsidR="00514A7B" w:rsidRPr="00514A7B" w:rsidTr="00BC1C9C">
        <w:tc>
          <w:tcPr>
            <w:tcW w:w="1947" w:type="dxa"/>
            <w:shd w:val="clear" w:color="auto" w:fill="D9D9D9"/>
          </w:tcPr>
          <w:p w:rsidR="00514A7B" w:rsidRPr="00514A7B" w:rsidRDefault="00514A7B" w:rsidP="00514A7B"/>
        </w:tc>
        <w:tc>
          <w:tcPr>
            <w:tcW w:w="2576" w:type="dxa"/>
            <w:shd w:val="clear" w:color="auto" w:fill="D9D9D9"/>
            <w:vAlign w:val="center"/>
          </w:tcPr>
          <w:p w:rsidR="00514A7B" w:rsidRPr="00514A7B" w:rsidRDefault="00514A7B" w:rsidP="00514A7B"/>
        </w:tc>
        <w:tc>
          <w:tcPr>
            <w:tcW w:w="3005" w:type="dxa"/>
            <w:shd w:val="clear" w:color="auto" w:fill="D9D9D9"/>
            <w:vAlign w:val="center"/>
          </w:tcPr>
          <w:p w:rsidR="00514A7B" w:rsidRPr="00514A7B" w:rsidRDefault="00514A7B" w:rsidP="00514A7B"/>
        </w:tc>
        <w:tc>
          <w:tcPr>
            <w:tcW w:w="2048" w:type="dxa"/>
            <w:shd w:val="clear" w:color="auto" w:fill="D9D9D9"/>
            <w:vAlign w:val="center"/>
          </w:tcPr>
          <w:p w:rsidR="00514A7B" w:rsidRPr="00514A7B" w:rsidRDefault="00514A7B" w:rsidP="00514A7B"/>
        </w:tc>
      </w:tr>
      <w:tr w:rsidR="00514A7B" w:rsidRPr="00514A7B" w:rsidTr="00BC1C9C">
        <w:tc>
          <w:tcPr>
            <w:tcW w:w="1947" w:type="dxa"/>
            <w:shd w:val="clear" w:color="auto" w:fill="D9D9D9"/>
          </w:tcPr>
          <w:p w:rsidR="00514A7B" w:rsidRPr="00514A7B" w:rsidRDefault="00514A7B" w:rsidP="00514A7B">
            <w:pPr>
              <w:rPr>
                <w:b/>
              </w:rPr>
            </w:pPr>
          </w:p>
        </w:tc>
        <w:tc>
          <w:tcPr>
            <w:tcW w:w="2576" w:type="dxa"/>
            <w:shd w:val="clear" w:color="auto" w:fill="D9D9D9"/>
            <w:vAlign w:val="center"/>
          </w:tcPr>
          <w:p w:rsidR="00514A7B" w:rsidRPr="00514A7B" w:rsidRDefault="00514A7B" w:rsidP="00514A7B">
            <w:pPr>
              <w:rPr>
                <w:b/>
              </w:rPr>
            </w:pPr>
          </w:p>
        </w:tc>
        <w:tc>
          <w:tcPr>
            <w:tcW w:w="3005" w:type="dxa"/>
            <w:shd w:val="clear" w:color="auto" w:fill="D9D9D9"/>
            <w:vAlign w:val="center"/>
          </w:tcPr>
          <w:p w:rsidR="00514A7B" w:rsidRPr="00514A7B" w:rsidRDefault="00514A7B" w:rsidP="00514A7B">
            <w:pPr>
              <w:rPr>
                <w:b/>
              </w:rPr>
            </w:pPr>
          </w:p>
        </w:tc>
        <w:tc>
          <w:tcPr>
            <w:tcW w:w="2048" w:type="dxa"/>
            <w:shd w:val="clear" w:color="auto" w:fill="D9D9D9"/>
            <w:vAlign w:val="center"/>
          </w:tcPr>
          <w:p w:rsidR="00514A7B" w:rsidRPr="00514A7B" w:rsidRDefault="00514A7B" w:rsidP="00514A7B">
            <w:pPr>
              <w:rPr>
                <w:b/>
              </w:rPr>
            </w:pPr>
          </w:p>
        </w:tc>
      </w:tr>
    </w:tbl>
    <w:p w:rsidR="00514A7B" w:rsidRDefault="00514A7B" w:rsidP="00C34ADD"/>
    <w:p w:rsidR="00514A7B" w:rsidRDefault="00514A7B" w:rsidP="00C34ADD"/>
    <w:p w:rsidR="00514A7B" w:rsidRPr="00F47B58" w:rsidRDefault="00AA1CC1" w:rsidP="00C34ADD">
      <w:pPr>
        <w:rPr>
          <w:rFonts w:asciiTheme="minorHAnsi" w:hAnsiTheme="minorHAnsi"/>
          <w:b/>
          <w:sz w:val="28"/>
        </w:rPr>
      </w:pPr>
      <w:r w:rsidRPr="00F47B58">
        <w:rPr>
          <w:rFonts w:asciiTheme="minorHAnsi" w:hAnsiTheme="minorHAnsi" w:cstheme="majorHAnsi"/>
          <w:b/>
          <w:color w:val="FFFFFF" w:themeColor="background1"/>
          <w:sz w:val="28"/>
          <w:highlight w:val="darkGreen"/>
        </w:rPr>
        <w:t>UAB Policies and Resources</w:t>
      </w:r>
    </w:p>
    <w:p w:rsidR="00AA1CC1" w:rsidRDefault="00AA1CC1" w:rsidP="00C34ADD"/>
    <w:p w:rsidR="00AA1CC1" w:rsidRPr="00763519" w:rsidRDefault="00AA1CC1" w:rsidP="00AA1CC1">
      <w:pPr>
        <w:pStyle w:val="Heading1"/>
      </w:pPr>
      <w:bookmarkStart w:id="1" w:name="_Toc479833600"/>
      <w:r>
        <w:t>Shared Values Statement</w:t>
      </w:r>
    </w:p>
    <w:p w:rsidR="00AA1CC1" w:rsidRDefault="00AA1CC1" w:rsidP="00AA1CC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w:t>
      </w:r>
      <w:r w:rsidRPr="006054BC">
        <w:rPr>
          <w:rFonts w:asciiTheme="minorHAnsi" w:hAnsiTheme="minorHAnsi"/>
        </w:rPr>
        <w:lastRenderedPageBreak/>
        <w:t>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bookmarkEnd w:id="1"/>
    <w:p w:rsidR="008F184C" w:rsidRPr="00763519" w:rsidRDefault="008F184C" w:rsidP="008F184C">
      <w:pPr>
        <w:pStyle w:val="Heading2"/>
      </w:pPr>
      <w:r w:rsidRPr="00763519">
        <w:t>Add/Drop and Course Withdrawal</w:t>
      </w:r>
    </w:p>
    <w:p w:rsidR="008F184C" w:rsidRPr="00763519" w:rsidRDefault="008F184C" w:rsidP="008F184C">
      <w:pPr>
        <w:pStyle w:val="ListParagraph"/>
        <w:numPr>
          <w:ilvl w:val="0"/>
          <w:numId w:val="2"/>
        </w:numPr>
      </w:pPr>
      <w:r w:rsidRPr="00763519">
        <w:t xml:space="preserve">Drop/Add: Deadlines for adding, dropping, or withdrawing from a course and for paying tuition are published in the </w:t>
      </w:r>
      <w:hyperlink r:id="rId7" w:history="1">
        <w:r w:rsidRPr="00763519">
          <w:rPr>
            <w:rStyle w:val="Hyperlink"/>
            <w:b/>
            <w:bCs w:val="0"/>
          </w:rPr>
          <w:t>Academic Calendar</w:t>
        </w:r>
      </w:hyperlink>
      <w:r w:rsidRPr="00763519">
        <w:rPr>
          <w:b/>
        </w:rPr>
        <w:t>.</w:t>
      </w:r>
      <w:r w:rsidRPr="00763519">
        <w:t xml:space="preserve"> Review the </w:t>
      </w:r>
      <w:hyperlink r:id="rId8"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9" w:history="1">
        <w:r w:rsidRPr="00763519">
          <w:rPr>
            <w:rStyle w:val="Hyperlink"/>
          </w:rPr>
          <w:t>BlazerNET</w:t>
        </w:r>
      </w:hyperlink>
      <w:r w:rsidRPr="00763519">
        <w:t>.</w:t>
      </w:r>
    </w:p>
    <w:p w:rsidR="008F184C" w:rsidRPr="00763519" w:rsidRDefault="008F184C" w:rsidP="008F184C">
      <w:pPr>
        <w:pStyle w:val="NormalIndented"/>
        <w:numPr>
          <w:ilvl w:val="0"/>
          <w:numId w:val="1"/>
        </w:numPr>
        <w:spacing w:before="120"/>
      </w:pPr>
      <w:r w:rsidRPr="00763519">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10" w:history="1">
        <w:r w:rsidRPr="00763519">
          <w:rPr>
            <w:rStyle w:val="Hyperlink"/>
          </w:rPr>
          <w:t>BlazerNET</w:t>
        </w:r>
      </w:hyperlink>
      <w:r w:rsidRPr="00763519">
        <w:t>.</w:t>
      </w:r>
    </w:p>
    <w:p w:rsidR="008F184C" w:rsidRPr="00763519" w:rsidRDefault="008F184C" w:rsidP="008F184C">
      <w:pPr>
        <w:pStyle w:val="Heading2"/>
      </w:pPr>
      <w:bookmarkStart w:id="2" w:name="_Hlk101451589"/>
      <w:r w:rsidRPr="00763519">
        <w:t>Academic Integrity Code</w:t>
      </w:r>
      <w:bookmarkEnd w:id="2"/>
    </w:p>
    <w:p w:rsidR="008F184C" w:rsidRPr="00763519" w:rsidRDefault="008F184C" w:rsidP="008F184C">
      <w:pPr>
        <w:spacing w:before="120"/>
      </w:pPr>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11"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rsidR="008F184C" w:rsidRDefault="008F184C" w:rsidP="008F184C">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12" w:history="1">
        <w:r w:rsidRPr="00763519">
          <w:rPr>
            <w:rStyle w:val="Hyperlink"/>
            <w:b/>
          </w:rPr>
          <w:t>Student Academic Integrity webpage</w:t>
        </w:r>
      </w:hyperlink>
      <w:r w:rsidRPr="00763519">
        <w:t>.</w:t>
      </w:r>
    </w:p>
    <w:p w:rsidR="008F184C" w:rsidRDefault="008F184C" w:rsidP="008F184C">
      <w:pPr>
        <w:pStyle w:val="Heading2"/>
      </w:pPr>
      <w:r w:rsidRPr="00763519">
        <w:t xml:space="preserve">Academic </w:t>
      </w:r>
      <w:r>
        <w:t>Policy Appeal</w:t>
      </w:r>
    </w:p>
    <w:p w:rsidR="008F184C" w:rsidRDefault="008F184C" w:rsidP="008F184C">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13" w:history="1">
        <w:r w:rsidRPr="00E365EE">
          <w:rPr>
            <w:rStyle w:val="Hyperlink"/>
            <w:b/>
          </w:rPr>
          <w:t>Academic Policy Appeal webpage</w:t>
        </w:r>
      </w:hyperlink>
      <w:r>
        <w:t>.</w:t>
      </w:r>
    </w:p>
    <w:p w:rsidR="008F184C" w:rsidRDefault="008F184C" w:rsidP="008F184C">
      <w:pPr>
        <w:pStyle w:val="Heading2"/>
      </w:pPr>
      <w:r>
        <w:t>Grading Policies and Practices</w:t>
      </w:r>
    </w:p>
    <w:p w:rsidR="008F184C" w:rsidRDefault="008F184C" w:rsidP="008F184C">
      <w:r>
        <w:t xml:space="preserve">UAB provides many Grading Policies to students such as Study Abroad Grading Policy, Grade Change Policy, Course Repeat, and University Forgiveness Policy. View more about the polices in the Grading Policies and Practices section of the </w:t>
      </w:r>
      <w:hyperlink r:id="rId14" w:anchor="gradestext" w:history="1">
        <w:r>
          <w:rPr>
            <w:rStyle w:val="Hyperlink"/>
            <w:b/>
          </w:rPr>
          <w:t>Undergraduate Catalog</w:t>
        </w:r>
      </w:hyperlink>
      <w:r>
        <w:t>.</w:t>
      </w:r>
    </w:p>
    <w:p w:rsidR="00514A7B" w:rsidRDefault="00514A7B" w:rsidP="00C34ADD"/>
    <w:p w:rsidR="008F184C" w:rsidRPr="00763519" w:rsidRDefault="008F184C" w:rsidP="008F184C">
      <w:pPr>
        <w:pStyle w:val="Heading2"/>
      </w:pPr>
      <w:r>
        <w:lastRenderedPageBreak/>
        <w:t>Artificial Intelligence Use</w:t>
      </w:r>
    </w:p>
    <w:p w:rsidR="008345E5" w:rsidRDefault="008345E5" w:rsidP="008345E5">
      <w:pPr>
        <w:pStyle w:val="Heading3"/>
        <w:ind w:firstLine="360"/>
      </w:pPr>
      <w:r>
        <w:t xml:space="preserve">Generative AI Use Is Prohibited </w:t>
      </w:r>
    </w:p>
    <w:p w:rsidR="008345E5" w:rsidRDefault="008345E5" w:rsidP="008345E5">
      <w:pPr>
        <w:pStyle w:val="NormalIndented"/>
      </w:pPr>
      <w:r>
        <w:t xml:space="preserve">The use of generative AI is strictly prohibited in this course, including during class, quizzes and exams. </w:t>
      </w:r>
    </w:p>
    <w:p w:rsidR="00BC1C9C" w:rsidRPr="00763519" w:rsidRDefault="00BC1C9C" w:rsidP="00BC1C9C">
      <w:pPr>
        <w:pStyle w:val="Heading2"/>
      </w:pPr>
      <w:bookmarkStart w:id="3" w:name="_Hlk101166388"/>
      <w:r w:rsidRPr="00763519">
        <w:t>Student Conduct Code</w:t>
      </w:r>
      <w:bookmarkEnd w:id="3"/>
    </w:p>
    <w:p w:rsidR="00BC1C9C" w:rsidRPr="00763519" w:rsidRDefault="00BC1C9C" w:rsidP="00BC1C9C">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rsidR="00BC1C9C" w:rsidRDefault="00BC1C9C" w:rsidP="00BC1C9C"/>
    <w:p w:rsidR="00BC1C9C" w:rsidRPr="00763519" w:rsidRDefault="00BC1C9C" w:rsidP="00BC1C9C">
      <w:pPr>
        <w:rPr>
          <w:rFonts w:asciiTheme="minorHAnsi" w:hAnsiTheme="minorHAnsi" w:cstheme="minorHAnsi"/>
          <w:b/>
        </w:rPr>
      </w:pPr>
      <w:r w:rsidRPr="00763519">
        <w:t xml:space="preserve">The </w:t>
      </w:r>
      <w:hyperlink r:id="rId15">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rsidR="00BC1C9C" w:rsidRPr="00763519" w:rsidRDefault="00BC1C9C" w:rsidP="00BC1C9C">
      <w:pPr>
        <w:pStyle w:val="Heading2"/>
      </w:pPr>
      <w:r w:rsidRPr="00763519">
        <w:t>Intellectual Property</w:t>
      </w:r>
      <w:r w:rsidRPr="00763519">
        <w:rPr>
          <w:rFonts w:eastAsia="Times New Roman" w:cs="Calibri"/>
          <w:color w:val="000000" w:themeColor="text1"/>
        </w:rPr>
        <w:t xml:space="preserve"> </w:t>
      </w:r>
    </w:p>
    <w:p w:rsidR="00BC1C9C" w:rsidRPr="00763519" w:rsidRDefault="00BC1C9C" w:rsidP="00BC1C9C">
      <w:pPr>
        <w:spacing w:before="120"/>
        <w:rPr>
          <w:rFonts w:eastAsia="Times New Roman" w:cs="Calibri"/>
          <w:color w:val="000000"/>
        </w:rPr>
      </w:pPr>
      <w:r w:rsidRPr="00763519">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rsidR="00BC1C9C" w:rsidRPr="00763519" w:rsidRDefault="00BC1C9C" w:rsidP="00BC1C9C">
      <w:pPr>
        <w:pStyle w:val="Heading2"/>
      </w:pPr>
      <w:r w:rsidRPr="00763519">
        <w:t xml:space="preserve">DSS Accessibility Statement </w:t>
      </w:r>
    </w:p>
    <w:p w:rsidR="00BC1C9C" w:rsidRPr="00763519" w:rsidRDefault="00BC1C9C" w:rsidP="00BC1C9C">
      <w:pPr>
        <w:spacing w:before="120"/>
        <w:rPr>
          <w:rStyle w:val="Heading2Char"/>
          <w:rFonts w:asciiTheme="minorHAnsi" w:eastAsiaTheme="minorEastAsia" w:hAnsiTheme="minorHAnsi"/>
          <w:b w:val="0"/>
          <w:bCs w:val="0"/>
          <w:color w:val="000000" w:themeColor="text1"/>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color w:val="000000" w:themeColor="text1"/>
        </w:rPr>
        <w:t>934-4205</w:t>
      </w:r>
      <w:r w:rsidRPr="00763519">
        <w:t xml:space="preserve"> or visit </w:t>
      </w:r>
      <w:hyperlink r:id="rId16">
        <w:r w:rsidRPr="00763519">
          <w:rPr>
            <w:rStyle w:val="Hyperlink"/>
            <w:rFonts w:asciiTheme="minorHAnsi" w:hAnsiTheme="minorHAnsi"/>
            <w:b/>
            <w:bCs/>
          </w:rPr>
          <w:t>the DSS website</w:t>
        </w:r>
      </w:hyperlink>
      <w:r w:rsidRPr="00763519">
        <w:t>.</w:t>
      </w:r>
    </w:p>
    <w:p w:rsidR="00BC1C9C" w:rsidRPr="00763519" w:rsidRDefault="00BC1C9C" w:rsidP="00BC1C9C">
      <w:pPr>
        <w:pStyle w:val="Heading2"/>
      </w:pPr>
      <w:r w:rsidRPr="00763519">
        <w:t>Title IX Statement</w:t>
      </w:r>
    </w:p>
    <w:p w:rsidR="00BC1C9C" w:rsidRPr="00DA05CF" w:rsidRDefault="00BC1C9C" w:rsidP="00BC1C9C">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w:t>
      </w:r>
      <w:r w:rsidRPr="00DA05CF">
        <w:rPr>
          <w:rFonts w:asciiTheme="minorHAnsi" w:hAnsiTheme="minorHAnsi" w:cstheme="minorHAnsi"/>
          <w:szCs w:val="24"/>
        </w:rPr>
        <w:lastRenderedPageBreak/>
        <w:t xml:space="preserve">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17" w:history="1">
        <w:r w:rsidRPr="00DA05CF">
          <w:rPr>
            <w:rStyle w:val="Hyperlink"/>
            <w:rFonts w:asciiTheme="minorHAnsi" w:hAnsiTheme="minorHAnsi" w:cstheme="minorHAnsi"/>
            <w:szCs w:val="24"/>
          </w:rPr>
          <w:t xml:space="preserve">Title IX webpage. </w:t>
        </w:r>
      </w:hyperlink>
    </w:p>
    <w:p w:rsidR="00BC1C9C" w:rsidRPr="00763519" w:rsidRDefault="00BC1C9C" w:rsidP="00BC1C9C">
      <w:pPr>
        <w:pStyle w:val="Heading2"/>
      </w:pPr>
      <w:r>
        <w:t>Divisive Concepts</w:t>
      </w:r>
    </w:p>
    <w:p w:rsidR="00BC1C9C" w:rsidRDefault="00BC1C9C" w:rsidP="00BC1C9C">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rsidR="00BC1C9C" w:rsidRPr="00763519" w:rsidRDefault="00BC1C9C" w:rsidP="00BC1C9C">
      <w:pPr>
        <w:pStyle w:val="Heading2"/>
      </w:pPr>
      <w:r w:rsidRPr="00763519">
        <w:t>Violence Prevention and Response Policy</w:t>
      </w:r>
    </w:p>
    <w:p w:rsidR="00BC1C9C" w:rsidRPr="00763519" w:rsidRDefault="00BC1C9C" w:rsidP="00BC1C9C">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t>,</w:t>
      </w:r>
      <w:r w:rsidRPr="00763519">
        <w:t xml:space="preserve"> and respond appropriately to campus/workplace violence. </w:t>
      </w:r>
      <w:r>
        <w:t>For more information, v</w:t>
      </w:r>
      <w:r w:rsidRPr="00763519">
        <w:t xml:space="preserve">iew the </w:t>
      </w:r>
      <w:hyperlink r:id="rId18" w:history="1">
        <w:r w:rsidRPr="00763519">
          <w:rPr>
            <w:rStyle w:val="Hyperlink"/>
            <w:b/>
          </w:rPr>
          <w:t>Violence Prevention and Response Policy</w:t>
        </w:r>
      </w:hyperlink>
      <w:r w:rsidRPr="00763519">
        <w:t>.</w:t>
      </w:r>
    </w:p>
    <w:p w:rsidR="00BC1C9C" w:rsidRPr="00763519" w:rsidRDefault="00BC1C9C" w:rsidP="00BC1C9C">
      <w:pPr>
        <w:pStyle w:val="Heading2"/>
      </w:pPr>
      <w:r w:rsidRPr="00763519">
        <w:t>Technology</w:t>
      </w:r>
    </w:p>
    <w:p w:rsidR="00BC1C9C" w:rsidRPr="00763519" w:rsidRDefault="00BC1C9C" w:rsidP="00BC1C9C">
      <w:r w:rsidRPr="00763519">
        <w:t xml:space="preserve">Access technical support and view privacy policies and accessibility statements for Canvas and other technologies on the </w:t>
      </w:r>
      <w:hyperlink r:id="rId19">
        <w:r>
          <w:rPr>
            <w:rStyle w:val="Hyperlink"/>
            <w:b/>
            <w:bCs/>
          </w:rPr>
          <w:t>Student Learning Technologies website</w:t>
        </w:r>
      </w:hyperlink>
      <w:r w:rsidRPr="00763519">
        <w:t xml:space="preserve">. Additionally, view information about the </w:t>
      </w:r>
      <w:hyperlink r:id="rId20">
        <w:r w:rsidRPr="00763519">
          <w:rPr>
            <w:rStyle w:val="Hyperlink"/>
            <w:b/>
            <w:bCs/>
          </w:rPr>
          <w:t>Minimum System Requirements and Technical Skills</w:t>
        </w:r>
      </w:hyperlink>
      <w:r w:rsidRPr="00763519">
        <w:t xml:space="preserve">. </w:t>
      </w:r>
    </w:p>
    <w:p w:rsidR="00BC1C9C" w:rsidRPr="00763519" w:rsidRDefault="00BC1C9C" w:rsidP="00BC1C9C">
      <w:pPr>
        <w:pStyle w:val="Heading2"/>
      </w:pPr>
      <w:r w:rsidRPr="00763519">
        <w:t>Canvas Alerts</w:t>
      </w:r>
    </w:p>
    <w:p w:rsidR="00BC1C9C" w:rsidRPr="00763519" w:rsidRDefault="00BC1C9C" w:rsidP="00BC1C9C">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rsidR="00BC1C9C" w:rsidRPr="00763519" w:rsidRDefault="00BC1C9C" w:rsidP="00BC1C9C">
      <w:pPr>
        <w:pStyle w:val="Heading2"/>
      </w:pPr>
      <w:r w:rsidRPr="00763519">
        <w:t>Health and Safety</w:t>
      </w:r>
    </w:p>
    <w:p w:rsidR="00BC1C9C" w:rsidRPr="00763519" w:rsidRDefault="00BC1C9C" w:rsidP="00BC1C9C">
      <w:pPr>
        <w:spacing w:before="120" w:after="120"/>
      </w:pPr>
      <w:r w:rsidRPr="00763519">
        <w:t xml:space="preserve">UAB is very concerned for your continued health and safety. Please consult the </w:t>
      </w:r>
      <w:hyperlink r:id="rId21"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rsidR="00BC1C9C" w:rsidRDefault="00BC1C9C" w:rsidP="00BC1C9C">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rPr>
        <w:t>View information on the Immunization Requirements and Policies of the University o</w:t>
      </w:r>
      <w:r w:rsidRPr="51736C20">
        <w:rPr>
          <w:rStyle w:val="Hyperlink"/>
        </w:rPr>
        <w:t xml:space="preserve">n the </w:t>
      </w:r>
      <w:hyperlink r:id="rId22"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4" w:name="_Hlk100849866"/>
    </w:p>
    <w:p w:rsidR="00BC1C9C" w:rsidRPr="00763519" w:rsidRDefault="00BC1C9C" w:rsidP="00BC1C9C">
      <w:pPr>
        <w:pStyle w:val="Heading2"/>
      </w:pPr>
      <w:r w:rsidRPr="00763519">
        <w:lastRenderedPageBreak/>
        <w:t>Student Academic and Support Services</w:t>
      </w:r>
    </w:p>
    <w:p w:rsidR="00BC1C9C" w:rsidRPr="00763519" w:rsidRDefault="00B84FDB" w:rsidP="00BC1C9C">
      <w:pPr>
        <w:pStyle w:val="NormalIndented"/>
        <w:numPr>
          <w:ilvl w:val="0"/>
          <w:numId w:val="4"/>
        </w:numPr>
        <w:rPr>
          <w:b/>
        </w:rPr>
      </w:pPr>
      <w:hyperlink r:id="rId23" w:history="1">
        <w:r w:rsidR="00BC1C9C" w:rsidRPr="00763519">
          <w:rPr>
            <w:rStyle w:val="Hyperlink"/>
            <w:b/>
          </w:rPr>
          <w:t>One Stop Student Services</w:t>
        </w:r>
      </w:hyperlink>
      <w:r w:rsidR="00BC1C9C" w:rsidRPr="00763519">
        <w:rPr>
          <w:b/>
        </w:rPr>
        <w:t xml:space="preserve"> </w:t>
      </w:r>
      <w:r w:rsidR="00BC1C9C" w:rsidRPr="00763519">
        <w:t xml:space="preserve">provides a single point of professional integrated service to students. The One Stop serves students who need assistance with academic records, financial aid, registration, student accounting, ONE card, and other related topics. </w:t>
      </w:r>
    </w:p>
    <w:p w:rsidR="00BC1C9C" w:rsidRPr="00763519" w:rsidRDefault="00B84FDB" w:rsidP="00BC1C9C">
      <w:pPr>
        <w:pStyle w:val="NormalIndented"/>
        <w:numPr>
          <w:ilvl w:val="0"/>
          <w:numId w:val="4"/>
        </w:numPr>
      </w:pPr>
      <w:hyperlink r:id="rId24">
        <w:r w:rsidR="00BC1C9C" w:rsidRPr="00763519">
          <w:rPr>
            <w:rStyle w:val="Hyperlink"/>
            <w:b/>
            <w:bCs/>
          </w:rPr>
          <w:t>Student Assistance and Support</w:t>
        </w:r>
      </w:hyperlink>
      <w:r w:rsidR="00BC1C9C"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25">
        <w:r w:rsidR="00BC1C9C" w:rsidRPr="00763519">
          <w:rPr>
            <w:rStyle w:val="Hyperlink"/>
            <w:b/>
            <w:bCs/>
          </w:rPr>
          <w:t>The UAB Care Team</w:t>
        </w:r>
      </w:hyperlink>
      <w:r w:rsidR="00BC1C9C" w:rsidRPr="00763519">
        <w:t xml:space="preserve"> helps find solutions for students experiencing academic, social, and crisis situations including mental health concerns.</w:t>
      </w:r>
    </w:p>
    <w:p w:rsidR="00BC1C9C" w:rsidRPr="00763519" w:rsidRDefault="00B84FDB" w:rsidP="00BC1C9C">
      <w:pPr>
        <w:pStyle w:val="NormalIndented"/>
        <w:numPr>
          <w:ilvl w:val="0"/>
          <w:numId w:val="4"/>
        </w:numPr>
      </w:pPr>
      <w:hyperlink r:id="rId26">
        <w:r w:rsidR="00BC1C9C" w:rsidRPr="00763519">
          <w:rPr>
            <w:rStyle w:val="Hyperlink"/>
            <w:b/>
            <w:bCs/>
          </w:rPr>
          <w:t>Disability Support Services</w:t>
        </w:r>
      </w:hyperlink>
      <w:r w:rsidR="00BC1C9C" w:rsidRPr="00763519">
        <w:rPr>
          <w:b/>
          <w:bCs/>
        </w:rPr>
        <w:t xml:space="preserve"> </w:t>
      </w:r>
      <w:r w:rsidR="00BC1C9C" w:rsidRPr="00763519">
        <w:t>assists students with reaching accommodations for their educational experiences at UAB that ensure that they have equal access to programs, services, and activities at UAB.</w:t>
      </w:r>
    </w:p>
    <w:p w:rsidR="00BC1C9C" w:rsidRPr="00763519" w:rsidRDefault="00BC1C9C" w:rsidP="00BC1C9C">
      <w:pPr>
        <w:pStyle w:val="NormalIndented"/>
        <w:numPr>
          <w:ilvl w:val="0"/>
          <w:numId w:val="4"/>
        </w:numPr>
      </w:pPr>
      <w:r w:rsidRPr="00763519">
        <w:t xml:space="preserve">The </w:t>
      </w:r>
      <w:hyperlink r:id="rId27">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rsidR="00BC1C9C" w:rsidRPr="00763519" w:rsidRDefault="00BC1C9C" w:rsidP="00BC1C9C">
      <w:pPr>
        <w:pStyle w:val="NormalIndented"/>
        <w:numPr>
          <w:ilvl w:val="0"/>
          <w:numId w:val="4"/>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28">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Pr>
          <w:rFonts w:ascii="Calibri" w:eastAsia="Calibri" w:hAnsi="Calibri" w:cs="Calibri"/>
          <w:color w:val="212121"/>
          <w:szCs w:val="24"/>
        </w:rPr>
        <w:t xml:space="preserve"> develop</w:t>
      </w:r>
      <w:r w:rsidRPr="00763519">
        <w:rPr>
          <w:rFonts w:ascii="Calibri" w:eastAsia="Calibri" w:hAnsi="Calibri" w:cs="Calibri"/>
          <w:color w:val="212121"/>
          <w:szCs w:val="24"/>
        </w:rPr>
        <w:t xml:space="preserve">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29">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30">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31">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32">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33">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rsidR="00BC1C9C" w:rsidRPr="00763519" w:rsidRDefault="00B84FDB" w:rsidP="00BC1C9C">
      <w:pPr>
        <w:pStyle w:val="NormalIndented"/>
        <w:numPr>
          <w:ilvl w:val="0"/>
          <w:numId w:val="4"/>
        </w:numPr>
      </w:pPr>
      <w:hyperlink r:id="rId34">
        <w:r w:rsidR="00BC1C9C" w:rsidRPr="00763519">
          <w:rPr>
            <w:rStyle w:val="Hyperlink"/>
            <w:b/>
            <w:bCs/>
          </w:rPr>
          <w:t>UAB Student Health Services</w:t>
        </w:r>
      </w:hyperlink>
      <w:r w:rsidR="00BC1C9C" w:rsidRPr="00763519">
        <w:t xml:space="preserve"> delivers comprehensive, high quality, confidential, primary healthcare to students. Student Health provides testing services and vaccination clinics.</w:t>
      </w:r>
    </w:p>
    <w:p w:rsidR="00BC1C9C" w:rsidRPr="00763519" w:rsidRDefault="00B84FDB" w:rsidP="00BC1C9C">
      <w:pPr>
        <w:pStyle w:val="NormalIndented"/>
        <w:numPr>
          <w:ilvl w:val="0"/>
          <w:numId w:val="4"/>
        </w:numPr>
      </w:pPr>
      <w:hyperlink r:id="rId35">
        <w:r w:rsidR="00BC1C9C" w:rsidRPr="00763519">
          <w:rPr>
            <w:rStyle w:val="Hyperlink"/>
            <w:b/>
            <w:bCs/>
          </w:rPr>
          <w:t>Student Counseling Services</w:t>
        </w:r>
      </w:hyperlink>
      <w:r w:rsidR="00BC1C9C" w:rsidRPr="00763519">
        <w:t xml:space="preserve"> offers students a safe place to discuss and resolve issues that interfere with personal and academic goals. UAB has created a new app (available in the App Store and Google Play) called </w:t>
      </w:r>
      <w:hyperlink r:id="rId36">
        <w:r w:rsidR="00BC1C9C" w:rsidRPr="00763519">
          <w:rPr>
            <w:rStyle w:val="Hyperlink"/>
            <w:b/>
            <w:bCs/>
          </w:rPr>
          <w:t>B Well</w:t>
        </w:r>
      </w:hyperlink>
      <w:r w:rsidR="00BC1C9C" w:rsidRPr="00763519">
        <w:t xml:space="preserve">, that is designed to easily access resources on mobile devices and build a self-care plan. </w:t>
      </w:r>
      <w:hyperlink r:id="rId37">
        <w:r w:rsidR="00BC1C9C" w:rsidRPr="00763519">
          <w:rPr>
            <w:rStyle w:val="Hyperlink"/>
            <w:b/>
            <w:bCs/>
          </w:rPr>
          <w:t>Kognito</w:t>
        </w:r>
      </w:hyperlink>
      <w:r w:rsidR="00BC1C9C" w:rsidRPr="00763519">
        <w:t xml:space="preserve"> is a free, interactive simulation-based platform designed to help you talk with someone when you are worried about your mental health.</w:t>
      </w:r>
    </w:p>
    <w:p w:rsidR="00BC1C9C" w:rsidRDefault="00B84FDB" w:rsidP="00BC1C9C">
      <w:pPr>
        <w:pStyle w:val="NormalIndented"/>
        <w:numPr>
          <w:ilvl w:val="0"/>
          <w:numId w:val="4"/>
        </w:numPr>
        <w:rPr>
          <w:b/>
          <w:bCs/>
        </w:rPr>
      </w:pPr>
      <w:hyperlink r:id="rId38">
        <w:r w:rsidR="00BC1C9C" w:rsidRPr="00763519">
          <w:rPr>
            <w:rStyle w:val="Hyperlink"/>
            <w:b/>
            <w:bCs/>
          </w:rPr>
          <w:t>UAB Blazer Kitchen at the Hill Student Center</w:t>
        </w:r>
      </w:hyperlink>
      <w:r w:rsidR="00BC1C9C"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39">
        <w:r w:rsidR="00BC1C9C" w:rsidRPr="00763519">
          <w:rPr>
            <w:rStyle w:val="Hyperlink"/>
            <w:b/>
            <w:bCs/>
          </w:rPr>
          <w:t>studentoutreach@uab.edu</w:t>
        </w:r>
      </w:hyperlink>
      <w:r w:rsidR="00BC1C9C" w:rsidRPr="00763519">
        <w:t>, or visit</w:t>
      </w:r>
      <w:r w:rsidR="00BC1C9C">
        <w:t xml:space="preserve"> the</w:t>
      </w:r>
      <w:r w:rsidR="00BC1C9C" w:rsidRPr="00763519">
        <w:rPr>
          <w:b/>
          <w:bCs/>
        </w:rPr>
        <w:t xml:space="preserve"> </w:t>
      </w:r>
      <w:hyperlink r:id="rId40">
        <w:r w:rsidR="00BC1C9C" w:rsidRPr="00763519">
          <w:rPr>
            <w:rStyle w:val="Hyperlink"/>
            <w:b/>
            <w:bCs/>
          </w:rPr>
          <w:t>Student Assistance &amp; Support website</w:t>
        </w:r>
      </w:hyperlink>
      <w:r w:rsidR="00BC1C9C" w:rsidRPr="00763519">
        <w:rPr>
          <w:b/>
          <w:bCs/>
        </w:rPr>
        <w:t>.</w:t>
      </w:r>
    </w:p>
    <w:p w:rsidR="00BC1C9C" w:rsidRPr="00596875" w:rsidRDefault="00BC1C9C" w:rsidP="00BC1C9C">
      <w:pPr>
        <w:pStyle w:val="NormalIndented"/>
        <w:numPr>
          <w:ilvl w:val="0"/>
          <w:numId w:val="4"/>
        </w:numPr>
        <w:rPr>
          <w:b/>
          <w:bCs/>
        </w:rPr>
      </w:pPr>
      <w:r>
        <w:t xml:space="preserve">The </w:t>
      </w:r>
      <w:hyperlink r:id="rId41">
        <w:r w:rsidRPr="00596875">
          <w:rPr>
            <w:rStyle w:val="Hyperlink"/>
            <w:b/>
          </w:rPr>
          <w:t>Office of Learning Technologies</w:t>
        </w:r>
      </w:hyperlink>
      <w:r w:rsidRPr="00763519">
        <w:t xml:space="preserve"> provides numerous academic technologies</w:t>
      </w:r>
      <w:bookmarkEnd w:id="4"/>
      <w:r w:rsidRPr="00763519">
        <w:t xml:space="preserve"> and learning resources for students.</w:t>
      </w:r>
    </w:p>
    <w:p w:rsidR="00BC1C9C" w:rsidRPr="00763519" w:rsidRDefault="00B84FDB" w:rsidP="00BC1C9C">
      <w:pPr>
        <w:pStyle w:val="ListParagraph"/>
        <w:numPr>
          <w:ilvl w:val="0"/>
          <w:numId w:val="4"/>
        </w:numPr>
      </w:pPr>
      <w:hyperlink r:id="rId42">
        <w:r w:rsidR="00BC1C9C" w:rsidRPr="00763519">
          <w:rPr>
            <w:rStyle w:val="Hyperlink"/>
            <w:b/>
          </w:rPr>
          <w:t>UAB Emergency Management</w:t>
        </w:r>
      </w:hyperlink>
      <w:r w:rsidR="00BC1C9C" w:rsidRPr="00763519">
        <w:rPr>
          <w:b/>
        </w:rPr>
        <w:t xml:space="preserve"> </w:t>
      </w:r>
      <w:r w:rsidR="00BC1C9C" w:rsidRPr="00763519">
        <w:t>will be the official source of UAB information during any actual emergency or severe weather situation.</w:t>
      </w:r>
    </w:p>
    <w:p w:rsidR="00BC1C9C" w:rsidRPr="00763519" w:rsidRDefault="00BC1C9C" w:rsidP="00BC1C9C">
      <w:r w:rsidRPr="00763519">
        <w:t>The following are the various websites describing additional student academic and technology resources:</w:t>
      </w:r>
    </w:p>
    <w:p w:rsidR="00BC1C9C" w:rsidRPr="00763519" w:rsidRDefault="00BC1C9C" w:rsidP="00BC1C9C">
      <w:pPr>
        <w:pStyle w:val="NormalIndented"/>
        <w:numPr>
          <w:ilvl w:val="0"/>
          <w:numId w:val="5"/>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fldChar w:fldCharType="separate"/>
      </w:r>
      <w:r w:rsidRPr="00763519">
        <w:rPr>
          <w:rStyle w:val="Hyperlink"/>
          <w:b/>
          <w:bCs/>
        </w:rPr>
        <w:t>UAB Policies for Students</w:t>
      </w:r>
    </w:p>
    <w:p w:rsidR="00BC1C9C" w:rsidRPr="00763519" w:rsidRDefault="00BC1C9C" w:rsidP="00BC1C9C">
      <w:pPr>
        <w:pStyle w:val="NormalIndented"/>
        <w:numPr>
          <w:ilvl w:val="0"/>
          <w:numId w:val="5"/>
        </w:numPr>
        <w:rPr>
          <w:b/>
          <w:bCs/>
        </w:rPr>
      </w:pPr>
      <w:r w:rsidRPr="00763519">
        <w:rPr>
          <w:b/>
          <w:bCs/>
        </w:rPr>
        <w:fldChar w:fldCharType="end"/>
      </w:r>
      <w:hyperlink r:id="rId43" w:history="1">
        <w:r w:rsidRPr="00763519">
          <w:rPr>
            <w:rStyle w:val="Hyperlink"/>
            <w:b/>
            <w:bCs/>
          </w:rPr>
          <w:t>Student Academic and Support Services</w:t>
        </w:r>
      </w:hyperlink>
    </w:p>
    <w:p w:rsidR="00BC1C9C" w:rsidRPr="00763519" w:rsidRDefault="00B84FDB" w:rsidP="00BC1C9C">
      <w:pPr>
        <w:pStyle w:val="NormalIndented"/>
        <w:numPr>
          <w:ilvl w:val="0"/>
          <w:numId w:val="5"/>
        </w:numPr>
        <w:rPr>
          <w:rStyle w:val="Hyperlink"/>
          <w:b/>
          <w:bCs/>
        </w:rPr>
      </w:pPr>
      <w:hyperlink r:id="rId44" w:history="1">
        <w:r w:rsidR="00BC1C9C" w:rsidRPr="00763519">
          <w:rPr>
            <w:rStyle w:val="Hyperlink"/>
            <w:b/>
            <w:bCs/>
          </w:rPr>
          <w:t>Technology Resources</w:t>
        </w:r>
      </w:hyperlink>
    </w:p>
    <w:p w:rsidR="00BC1C9C" w:rsidRPr="00763519" w:rsidRDefault="00BC1C9C" w:rsidP="00BC1C9C">
      <w:pPr>
        <w:pStyle w:val="Heading2"/>
      </w:pPr>
      <w:r w:rsidRPr="00763519">
        <w:t>Peers’ Contact Information</w:t>
      </w:r>
    </w:p>
    <w:p w:rsidR="00BC1C9C" w:rsidRPr="00763519" w:rsidRDefault="00BC1C9C" w:rsidP="00BC1C9C">
      <w:r w:rsidRPr="00763519">
        <w:t>I encourage students to reach out and obtain contact information of up to three classmates. This will be helpful in the event of an absence, forming study groups, or communicating schedule changes, etc.</w:t>
      </w:r>
    </w:p>
    <w:tbl>
      <w:tblPr>
        <w:tblStyle w:val="TableGrid"/>
        <w:tblW w:w="0" w:type="auto"/>
        <w:tblLayout w:type="fixed"/>
        <w:tblLook w:val="06A0" w:firstRow="1" w:lastRow="0" w:firstColumn="1" w:lastColumn="0" w:noHBand="1" w:noVBand="1"/>
      </w:tblPr>
      <w:tblGrid>
        <w:gridCol w:w="3120"/>
        <w:gridCol w:w="3120"/>
        <w:gridCol w:w="3120"/>
      </w:tblGrid>
      <w:tr w:rsidR="00BC1C9C" w:rsidRPr="00763519" w:rsidTr="00BC1C9C">
        <w:trPr>
          <w:trHeight w:val="300"/>
        </w:trPr>
        <w:tc>
          <w:tcPr>
            <w:tcW w:w="3120" w:type="dxa"/>
          </w:tcPr>
          <w:p w:rsidR="00BC1C9C" w:rsidRPr="00763519" w:rsidRDefault="00BC1C9C" w:rsidP="00BC1C9C">
            <w:pPr>
              <w:rPr>
                <w:b/>
                <w:bCs/>
              </w:rPr>
            </w:pPr>
            <w:r w:rsidRPr="00763519">
              <w:rPr>
                <w:b/>
                <w:bCs/>
              </w:rPr>
              <w:t>Contact 1</w:t>
            </w:r>
          </w:p>
        </w:tc>
        <w:tc>
          <w:tcPr>
            <w:tcW w:w="3120" w:type="dxa"/>
          </w:tcPr>
          <w:p w:rsidR="00BC1C9C" w:rsidRPr="00763519" w:rsidRDefault="00BC1C9C" w:rsidP="00BC1C9C">
            <w:pPr>
              <w:rPr>
                <w:b/>
                <w:bCs/>
              </w:rPr>
            </w:pPr>
            <w:r w:rsidRPr="00763519">
              <w:rPr>
                <w:b/>
                <w:bCs/>
              </w:rPr>
              <w:t>Contact 2</w:t>
            </w:r>
          </w:p>
        </w:tc>
        <w:tc>
          <w:tcPr>
            <w:tcW w:w="3120" w:type="dxa"/>
          </w:tcPr>
          <w:p w:rsidR="00BC1C9C" w:rsidRPr="00763519" w:rsidRDefault="00BC1C9C" w:rsidP="00BC1C9C">
            <w:pPr>
              <w:rPr>
                <w:b/>
                <w:bCs/>
              </w:rPr>
            </w:pPr>
            <w:r w:rsidRPr="00763519">
              <w:rPr>
                <w:b/>
                <w:bCs/>
              </w:rPr>
              <w:t>Contact 3</w:t>
            </w:r>
          </w:p>
        </w:tc>
      </w:tr>
      <w:tr w:rsidR="00BC1C9C" w:rsidRPr="00763519" w:rsidTr="00BC1C9C">
        <w:trPr>
          <w:trHeight w:val="53"/>
        </w:trPr>
        <w:tc>
          <w:tcPr>
            <w:tcW w:w="3120" w:type="dxa"/>
          </w:tcPr>
          <w:p w:rsidR="00BC1C9C" w:rsidRPr="00763519" w:rsidRDefault="00BC1C9C" w:rsidP="00BC1C9C">
            <w:pPr>
              <w:spacing w:before="120"/>
            </w:pPr>
            <w:r w:rsidRPr="00763519">
              <w:t>Name:</w:t>
            </w:r>
          </w:p>
          <w:p w:rsidR="00BC1C9C" w:rsidRPr="00763519" w:rsidRDefault="00BC1C9C" w:rsidP="00BC1C9C">
            <w:r w:rsidRPr="00763519">
              <w:t>Email:</w:t>
            </w:r>
          </w:p>
          <w:p w:rsidR="00BC1C9C" w:rsidRPr="00763519" w:rsidRDefault="00BC1C9C" w:rsidP="00BC1C9C">
            <w:r w:rsidRPr="00763519">
              <w:t>Phone Number:</w:t>
            </w:r>
          </w:p>
        </w:tc>
        <w:tc>
          <w:tcPr>
            <w:tcW w:w="3120" w:type="dxa"/>
          </w:tcPr>
          <w:p w:rsidR="00BC1C9C" w:rsidRPr="00763519" w:rsidRDefault="00BC1C9C" w:rsidP="00BC1C9C">
            <w:pPr>
              <w:spacing w:before="120"/>
            </w:pPr>
            <w:r w:rsidRPr="00763519">
              <w:t>Name:</w:t>
            </w:r>
          </w:p>
          <w:p w:rsidR="00BC1C9C" w:rsidRPr="00763519" w:rsidRDefault="00BC1C9C" w:rsidP="00BC1C9C">
            <w:r w:rsidRPr="00763519">
              <w:t>Email:</w:t>
            </w:r>
          </w:p>
          <w:p w:rsidR="00BC1C9C" w:rsidRPr="00763519" w:rsidRDefault="00BC1C9C" w:rsidP="00BC1C9C">
            <w:r w:rsidRPr="00763519">
              <w:t>Phone Number:</w:t>
            </w:r>
          </w:p>
        </w:tc>
        <w:tc>
          <w:tcPr>
            <w:tcW w:w="3120" w:type="dxa"/>
          </w:tcPr>
          <w:p w:rsidR="00BC1C9C" w:rsidRPr="00763519" w:rsidRDefault="00BC1C9C" w:rsidP="00BC1C9C">
            <w:pPr>
              <w:spacing w:before="120"/>
            </w:pPr>
            <w:r w:rsidRPr="00763519">
              <w:t>Name:</w:t>
            </w:r>
          </w:p>
          <w:p w:rsidR="00BC1C9C" w:rsidRPr="00763519" w:rsidRDefault="00BC1C9C" w:rsidP="00BC1C9C">
            <w:r w:rsidRPr="00763519">
              <w:t>Email:</w:t>
            </w:r>
          </w:p>
          <w:p w:rsidR="00BC1C9C" w:rsidRPr="00763519" w:rsidRDefault="00BC1C9C" w:rsidP="00BC1C9C">
            <w:r w:rsidRPr="00763519">
              <w:t>Phone Number:</w:t>
            </w:r>
          </w:p>
        </w:tc>
      </w:tr>
    </w:tbl>
    <w:p w:rsidR="008F184C" w:rsidRDefault="008F184C" w:rsidP="00C34ADD"/>
    <w:p w:rsidR="00BC1C9C" w:rsidRDefault="00BC1C9C" w:rsidP="00C34ADD"/>
    <w:p w:rsidR="00BC1C9C" w:rsidRDefault="00BC1C9C" w:rsidP="00C34ADD"/>
    <w:p w:rsidR="00BC1C9C" w:rsidRDefault="00BC1C9C" w:rsidP="00C34ADD"/>
    <w:p w:rsidR="00514A7B" w:rsidRPr="00C34ADD" w:rsidRDefault="00514A7B" w:rsidP="00C34ADD"/>
    <w:sectPr w:rsidR="00514A7B" w:rsidRPr="00C34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0923FB"/>
    <w:multiLevelType w:val="hybridMultilevel"/>
    <w:tmpl w:val="8A48543A"/>
    <w:lvl w:ilvl="0" w:tplc="90DE0B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1"/>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DD"/>
    <w:rsid w:val="000141E8"/>
    <w:rsid w:val="000258BD"/>
    <w:rsid w:val="0005501E"/>
    <w:rsid w:val="000B1822"/>
    <w:rsid w:val="000C5827"/>
    <w:rsid w:val="000D4C29"/>
    <w:rsid w:val="000E2C95"/>
    <w:rsid w:val="000F16BA"/>
    <w:rsid w:val="001348D7"/>
    <w:rsid w:val="001677D3"/>
    <w:rsid w:val="001A7BDB"/>
    <w:rsid w:val="001D067C"/>
    <w:rsid w:val="001F5C4D"/>
    <w:rsid w:val="00224AAC"/>
    <w:rsid w:val="00227016"/>
    <w:rsid w:val="002357E7"/>
    <w:rsid w:val="00242F35"/>
    <w:rsid w:val="002433C1"/>
    <w:rsid w:val="002616F0"/>
    <w:rsid w:val="00274ABE"/>
    <w:rsid w:val="00281259"/>
    <w:rsid w:val="002907F1"/>
    <w:rsid w:val="00293847"/>
    <w:rsid w:val="002B11BA"/>
    <w:rsid w:val="002B3333"/>
    <w:rsid w:val="002D2C67"/>
    <w:rsid w:val="00327746"/>
    <w:rsid w:val="003A60EB"/>
    <w:rsid w:val="003E1883"/>
    <w:rsid w:val="003F5723"/>
    <w:rsid w:val="00421782"/>
    <w:rsid w:val="00470C70"/>
    <w:rsid w:val="004871E6"/>
    <w:rsid w:val="004908C8"/>
    <w:rsid w:val="00493861"/>
    <w:rsid w:val="004A61AE"/>
    <w:rsid w:val="004B1C9B"/>
    <w:rsid w:val="004C330B"/>
    <w:rsid w:val="004F0516"/>
    <w:rsid w:val="00514A7B"/>
    <w:rsid w:val="0055263A"/>
    <w:rsid w:val="00570B76"/>
    <w:rsid w:val="00585A9F"/>
    <w:rsid w:val="005B010C"/>
    <w:rsid w:val="005B60D7"/>
    <w:rsid w:val="005E3331"/>
    <w:rsid w:val="005E533A"/>
    <w:rsid w:val="005F4079"/>
    <w:rsid w:val="006131B2"/>
    <w:rsid w:val="0061627A"/>
    <w:rsid w:val="00626BFD"/>
    <w:rsid w:val="00664367"/>
    <w:rsid w:val="006A1145"/>
    <w:rsid w:val="006B72BD"/>
    <w:rsid w:val="006E0AA4"/>
    <w:rsid w:val="00716B0C"/>
    <w:rsid w:val="00726E12"/>
    <w:rsid w:val="0074693A"/>
    <w:rsid w:val="00757F53"/>
    <w:rsid w:val="00761DAB"/>
    <w:rsid w:val="007A2B8C"/>
    <w:rsid w:val="007A4606"/>
    <w:rsid w:val="007B0A25"/>
    <w:rsid w:val="007E019B"/>
    <w:rsid w:val="007E2148"/>
    <w:rsid w:val="00801BE1"/>
    <w:rsid w:val="0080481E"/>
    <w:rsid w:val="008050F4"/>
    <w:rsid w:val="008345E5"/>
    <w:rsid w:val="008456E4"/>
    <w:rsid w:val="00876B8E"/>
    <w:rsid w:val="008915BD"/>
    <w:rsid w:val="008F184C"/>
    <w:rsid w:val="00923EF1"/>
    <w:rsid w:val="00984979"/>
    <w:rsid w:val="0099566F"/>
    <w:rsid w:val="009C696A"/>
    <w:rsid w:val="009D70C3"/>
    <w:rsid w:val="009E7EF0"/>
    <w:rsid w:val="00A36262"/>
    <w:rsid w:val="00A676A2"/>
    <w:rsid w:val="00AA17F3"/>
    <w:rsid w:val="00AA19D6"/>
    <w:rsid w:val="00AA1CC1"/>
    <w:rsid w:val="00AA222A"/>
    <w:rsid w:val="00AD0D68"/>
    <w:rsid w:val="00AD3240"/>
    <w:rsid w:val="00AD794C"/>
    <w:rsid w:val="00B046CF"/>
    <w:rsid w:val="00B1577B"/>
    <w:rsid w:val="00B23D2C"/>
    <w:rsid w:val="00B36071"/>
    <w:rsid w:val="00B507E4"/>
    <w:rsid w:val="00B84FDB"/>
    <w:rsid w:val="00BC08CD"/>
    <w:rsid w:val="00BC1C9C"/>
    <w:rsid w:val="00C1288B"/>
    <w:rsid w:val="00C2240C"/>
    <w:rsid w:val="00C34260"/>
    <w:rsid w:val="00C34ADD"/>
    <w:rsid w:val="00C51506"/>
    <w:rsid w:val="00C7792A"/>
    <w:rsid w:val="00CC2B53"/>
    <w:rsid w:val="00D04FD7"/>
    <w:rsid w:val="00D44733"/>
    <w:rsid w:val="00D52270"/>
    <w:rsid w:val="00D66AA6"/>
    <w:rsid w:val="00D66D3F"/>
    <w:rsid w:val="00D7171F"/>
    <w:rsid w:val="00D92240"/>
    <w:rsid w:val="00DB6AB4"/>
    <w:rsid w:val="00DC295F"/>
    <w:rsid w:val="00DD3566"/>
    <w:rsid w:val="00E13FC8"/>
    <w:rsid w:val="00E57F5D"/>
    <w:rsid w:val="00E830B6"/>
    <w:rsid w:val="00E96E56"/>
    <w:rsid w:val="00EC0D3B"/>
    <w:rsid w:val="00EC24AF"/>
    <w:rsid w:val="00EE2957"/>
    <w:rsid w:val="00EE4D2F"/>
    <w:rsid w:val="00F16F42"/>
    <w:rsid w:val="00F21AB1"/>
    <w:rsid w:val="00F459AF"/>
    <w:rsid w:val="00F47B58"/>
    <w:rsid w:val="00F724FB"/>
    <w:rsid w:val="00F90A62"/>
    <w:rsid w:val="00F92547"/>
    <w:rsid w:val="00F94C09"/>
    <w:rsid w:val="00FB0618"/>
    <w:rsid w:val="00FB4E72"/>
    <w:rsid w:val="00FC206E"/>
    <w:rsid w:val="00FF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1CC1"/>
    <w:pPr>
      <w:widowControl w:val="0"/>
      <w:shd w:val="clear" w:color="auto" w:fill="1E6B52"/>
      <w:tabs>
        <w:tab w:val="left" w:pos="3686"/>
      </w:tabs>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uiPriority w:val="9"/>
    <w:semiHidden/>
    <w:unhideWhenUsed/>
    <w:qFormat/>
    <w:rsid w:val="008F18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5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C1"/>
    <w:rPr>
      <w:rFonts w:asciiTheme="minorHAnsi" w:eastAsiaTheme="majorEastAsia" w:hAnsiTheme="minorHAnsi"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8F184C"/>
    <w:rPr>
      <w:rFonts w:asciiTheme="majorHAnsi" w:eastAsiaTheme="majorEastAsia" w:hAnsiTheme="majorHAnsi" w:cstheme="majorBidi"/>
      <w:b/>
      <w:bCs/>
      <w:color w:val="4F81BD" w:themeColor="accent1"/>
      <w:sz w:val="26"/>
      <w:szCs w:val="26"/>
    </w:rPr>
  </w:style>
  <w:style w:type="paragraph" w:styleId="ListParagraph">
    <w:name w:val="List Paragraph"/>
    <w:basedOn w:val="Normal"/>
    <w:autoRedefine/>
    <w:uiPriority w:val="1"/>
    <w:unhideWhenUsed/>
    <w:qFormat/>
    <w:rsid w:val="008F184C"/>
    <w:pPr>
      <w:numPr>
        <w:numId w:val="3"/>
      </w:numPr>
    </w:pPr>
    <w:rPr>
      <w:rFonts w:ascii="Calibri" w:eastAsia="Cambria" w:hAnsi="Calibri" w:cs="Cambria"/>
      <w:bCs/>
      <w:szCs w:val="24"/>
      <w:lang w:eastAsia="ja-JP"/>
    </w:rPr>
  </w:style>
  <w:style w:type="character" w:styleId="Hyperlink">
    <w:name w:val="Hyperlink"/>
    <w:basedOn w:val="DefaultParagraphFont"/>
    <w:uiPriority w:val="99"/>
    <w:unhideWhenUsed/>
    <w:rsid w:val="008F184C"/>
    <w:rPr>
      <w:color w:val="0000FF" w:themeColor="hyperlink"/>
      <w:u w:val="single"/>
    </w:rPr>
  </w:style>
  <w:style w:type="paragraph" w:customStyle="1" w:styleId="NormalIndented">
    <w:name w:val="Normal Indented"/>
    <w:basedOn w:val="Normal"/>
    <w:link w:val="NormalIndentedChar"/>
    <w:qFormat/>
    <w:rsid w:val="008F184C"/>
    <w:pPr>
      <w:spacing w:before="240" w:after="240"/>
      <w:ind w:left="360"/>
    </w:pPr>
    <w:rPr>
      <w:rFonts w:asciiTheme="minorHAnsi" w:hAnsiTheme="minorHAnsi"/>
    </w:rPr>
  </w:style>
  <w:style w:type="character" w:customStyle="1" w:styleId="NormalIndentedChar">
    <w:name w:val="Normal Indented Char"/>
    <w:basedOn w:val="DefaultParagraphFont"/>
    <w:link w:val="NormalIndented"/>
    <w:rsid w:val="008F184C"/>
    <w:rPr>
      <w:rFonts w:asciiTheme="minorHAnsi" w:hAnsiTheme="minorHAnsi"/>
    </w:rPr>
  </w:style>
  <w:style w:type="character" w:customStyle="1" w:styleId="Heading3Char">
    <w:name w:val="Heading 3 Char"/>
    <w:basedOn w:val="DefaultParagraphFont"/>
    <w:link w:val="Heading3"/>
    <w:uiPriority w:val="9"/>
    <w:semiHidden/>
    <w:rsid w:val="008345E5"/>
    <w:rPr>
      <w:rFonts w:asciiTheme="majorHAnsi" w:eastAsiaTheme="majorEastAsia" w:hAnsiTheme="majorHAnsi" w:cstheme="majorBidi"/>
      <w:b/>
      <w:bCs/>
      <w:color w:val="4F81BD" w:themeColor="accent1"/>
    </w:rPr>
  </w:style>
  <w:style w:type="paragraph" w:styleId="NoSpacing">
    <w:name w:val="No Spacing"/>
    <w:uiPriority w:val="1"/>
    <w:qFormat/>
    <w:rsid w:val="00BC1C9C"/>
    <w:rPr>
      <w:rFonts w:asciiTheme="minorHAnsi" w:hAnsiTheme="minorHAnsi"/>
      <w:sz w:val="22"/>
    </w:rPr>
  </w:style>
  <w:style w:type="table" w:styleId="TableGrid">
    <w:name w:val="Table Grid"/>
    <w:basedOn w:val="TableNormal"/>
    <w:uiPriority w:val="59"/>
    <w:rsid w:val="00BC1C9C"/>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C1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1CC1"/>
    <w:pPr>
      <w:widowControl w:val="0"/>
      <w:shd w:val="clear" w:color="auto" w:fill="1E6B52"/>
      <w:tabs>
        <w:tab w:val="left" w:pos="3686"/>
      </w:tabs>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uiPriority w:val="9"/>
    <w:semiHidden/>
    <w:unhideWhenUsed/>
    <w:qFormat/>
    <w:rsid w:val="008F18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5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C1"/>
    <w:rPr>
      <w:rFonts w:asciiTheme="minorHAnsi" w:eastAsiaTheme="majorEastAsia" w:hAnsiTheme="minorHAnsi"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8F184C"/>
    <w:rPr>
      <w:rFonts w:asciiTheme="majorHAnsi" w:eastAsiaTheme="majorEastAsia" w:hAnsiTheme="majorHAnsi" w:cstheme="majorBidi"/>
      <w:b/>
      <w:bCs/>
      <w:color w:val="4F81BD" w:themeColor="accent1"/>
      <w:sz w:val="26"/>
      <w:szCs w:val="26"/>
    </w:rPr>
  </w:style>
  <w:style w:type="paragraph" w:styleId="ListParagraph">
    <w:name w:val="List Paragraph"/>
    <w:basedOn w:val="Normal"/>
    <w:autoRedefine/>
    <w:uiPriority w:val="1"/>
    <w:unhideWhenUsed/>
    <w:qFormat/>
    <w:rsid w:val="008F184C"/>
    <w:pPr>
      <w:numPr>
        <w:numId w:val="3"/>
      </w:numPr>
    </w:pPr>
    <w:rPr>
      <w:rFonts w:ascii="Calibri" w:eastAsia="Cambria" w:hAnsi="Calibri" w:cs="Cambria"/>
      <w:bCs/>
      <w:szCs w:val="24"/>
      <w:lang w:eastAsia="ja-JP"/>
    </w:rPr>
  </w:style>
  <w:style w:type="character" w:styleId="Hyperlink">
    <w:name w:val="Hyperlink"/>
    <w:basedOn w:val="DefaultParagraphFont"/>
    <w:uiPriority w:val="99"/>
    <w:unhideWhenUsed/>
    <w:rsid w:val="008F184C"/>
    <w:rPr>
      <w:color w:val="0000FF" w:themeColor="hyperlink"/>
      <w:u w:val="single"/>
    </w:rPr>
  </w:style>
  <w:style w:type="paragraph" w:customStyle="1" w:styleId="NormalIndented">
    <w:name w:val="Normal Indented"/>
    <w:basedOn w:val="Normal"/>
    <w:link w:val="NormalIndentedChar"/>
    <w:qFormat/>
    <w:rsid w:val="008F184C"/>
    <w:pPr>
      <w:spacing w:before="240" w:after="240"/>
      <w:ind w:left="360"/>
    </w:pPr>
    <w:rPr>
      <w:rFonts w:asciiTheme="minorHAnsi" w:hAnsiTheme="minorHAnsi"/>
    </w:rPr>
  </w:style>
  <w:style w:type="character" w:customStyle="1" w:styleId="NormalIndentedChar">
    <w:name w:val="Normal Indented Char"/>
    <w:basedOn w:val="DefaultParagraphFont"/>
    <w:link w:val="NormalIndented"/>
    <w:rsid w:val="008F184C"/>
    <w:rPr>
      <w:rFonts w:asciiTheme="minorHAnsi" w:hAnsiTheme="minorHAnsi"/>
    </w:rPr>
  </w:style>
  <w:style w:type="character" w:customStyle="1" w:styleId="Heading3Char">
    <w:name w:val="Heading 3 Char"/>
    <w:basedOn w:val="DefaultParagraphFont"/>
    <w:link w:val="Heading3"/>
    <w:uiPriority w:val="9"/>
    <w:semiHidden/>
    <w:rsid w:val="008345E5"/>
    <w:rPr>
      <w:rFonts w:asciiTheme="majorHAnsi" w:eastAsiaTheme="majorEastAsia" w:hAnsiTheme="majorHAnsi" w:cstheme="majorBidi"/>
      <w:b/>
      <w:bCs/>
      <w:color w:val="4F81BD" w:themeColor="accent1"/>
    </w:rPr>
  </w:style>
  <w:style w:type="paragraph" w:styleId="NoSpacing">
    <w:name w:val="No Spacing"/>
    <w:uiPriority w:val="1"/>
    <w:qFormat/>
    <w:rsid w:val="00BC1C9C"/>
    <w:rPr>
      <w:rFonts w:asciiTheme="minorHAnsi" w:hAnsiTheme="minorHAnsi"/>
      <w:sz w:val="22"/>
    </w:rPr>
  </w:style>
  <w:style w:type="table" w:styleId="TableGrid">
    <w:name w:val="Table Grid"/>
    <w:basedOn w:val="TableNormal"/>
    <w:uiPriority w:val="59"/>
    <w:rsid w:val="00BC1C9C"/>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C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cost-aid/resources/policies" TargetMode="External"/><Relationship Id="rId13" Type="http://schemas.openxmlformats.org/officeDocument/2006/relationships/hyperlink" Target="https://www.uab.edu/one-stop/policies/academic-policy-appeal" TargetMode="External"/><Relationship Id="rId18" Type="http://schemas.openxmlformats.org/officeDocument/2006/relationships/hyperlink" Target="https://secure2.compliancebridge.com/uab/portal/getdoc.php?file=393" TargetMode="External"/><Relationship Id="rId26" Type="http://schemas.openxmlformats.org/officeDocument/2006/relationships/hyperlink" Target="https://www.uab.edu/students/disability/about" TargetMode="External"/><Relationship Id="rId39" Type="http://schemas.openxmlformats.org/officeDocument/2006/relationships/hyperlink" Target="mailto:studentoutreach@uab.edu" TargetMode="External"/><Relationship Id="rId3" Type="http://schemas.microsoft.com/office/2007/relationships/stylesWithEffects" Target="stylesWithEffects.xml"/><Relationship Id="rId21" Type="http://schemas.openxmlformats.org/officeDocument/2006/relationships/hyperlink" Target="https://www.uab.edu/students/health/" TargetMode="External"/><Relationship Id="rId34" Type="http://schemas.openxmlformats.org/officeDocument/2006/relationships/hyperlink" Target="https://www.uab.edu/students/health/" TargetMode="External"/><Relationship Id="rId42" Type="http://schemas.openxmlformats.org/officeDocument/2006/relationships/hyperlink" Target="https://www.uab.edu/emergency/" TargetMode="External"/><Relationship Id="rId7" Type="http://schemas.openxmlformats.org/officeDocument/2006/relationships/hyperlink" Target="https://www.uab.edu/students/academics/academic-calendar/2024-2025" TargetMode="External"/><Relationship Id="rId12" Type="http://schemas.openxmlformats.org/officeDocument/2006/relationships/hyperlink" Target="https://www.uab.edu/one-stop/policies/academic-integrity-code" TargetMode="External"/><Relationship Id="rId17" Type="http://schemas.openxmlformats.org/officeDocument/2006/relationships/hyperlink" Target="https://www.uab.edu/titleix/" TargetMode="External"/><Relationship Id="rId25" Type="http://schemas.openxmlformats.org/officeDocument/2006/relationships/hyperlink" Target="https://www.uab.edu/careteam/" TargetMode="External"/><Relationship Id="rId33" Type="http://schemas.openxmlformats.org/officeDocument/2006/relationships/hyperlink" Target="https://www.linkedin.com/company/uab-university-writing-center" TargetMode="External"/><Relationship Id="rId38" Type="http://schemas.openxmlformats.org/officeDocument/2006/relationships/hyperlink" Target="https://www.uab.edu/students/assistance/blazer-kitche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ab.edu/dss" TargetMode="External"/><Relationship Id="rId20" Type="http://schemas.openxmlformats.org/officeDocument/2006/relationships/hyperlink" Target="https://www.uab.edu/elearning/technology-resources" TargetMode="External"/><Relationship Id="rId29" Type="http://schemas.openxmlformats.org/officeDocument/2006/relationships/hyperlink" Target="http://www.uab.edu/writingcenter" TargetMode="External"/><Relationship Id="rId41" Type="http://schemas.openxmlformats.org/officeDocument/2006/relationships/hyperlink" Target="https://www.uab.edu/elearning/students" TargetMode="External"/><Relationship Id="rId1" Type="http://schemas.openxmlformats.org/officeDocument/2006/relationships/numbering" Target="numbering.xml"/><Relationship Id="rId6" Type="http://schemas.openxmlformats.org/officeDocument/2006/relationships/hyperlink" Target="mailto:thuddle@uabmc.edu" TargetMode="External"/><Relationship Id="rId11" Type="http://schemas.openxmlformats.org/officeDocument/2006/relationships/hyperlink" Target="https://www.uab.edu/one-stop/policies/academic-integrity-code" TargetMode="External"/><Relationship Id="rId24" Type="http://schemas.openxmlformats.org/officeDocument/2006/relationships/hyperlink" Target="https://www.uab.edu/students/assistance/about" TargetMode="External"/><Relationship Id="rId32" Type="http://schemas.openxmlformats.org/officeDocument/2006/relationships/hyperlink" Target="https://www.instagram.com/uab_writing_center/"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outreach/abou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ab.edu/students/accountability/policies/student-conduct-code" TargetMode="External"/><Relationship Id="rId23" Type="http://schemas.openxmlformats.org/officeDocument/2006/relationships/hyperlink" Target="https://www.uab.edu/one-stop/" TargetMode="External"/><Relationship Id="rId28" Type="http://schemas.openxmlformats.org/officeDocument/2006/relationships/hyperlink" Target="http://www.uab.edu/writingcenter"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hyperlink" Target="http://www.uab.edu/blazernet" TargetMode="External"/><Relationship Id="rId19" Type="http://schemas.openxmlformats.org/officeDocument/2006/relationships/hyperlink" Target="https://www.uab.edu/elearning/academic-technologies" TargetMode="External"/><Relationship Id="rId31" Type="http://schemas.openxmlformats.org/officeDocument/2006/relationships/hyperlink" Target="https://www.facebook.com/UABWritingCenter" TargetMode="External"/><Relationship Id="rId44" Type="http://schemas.openxmlformats.org/officeDocument/2006/relationships/hyperlink" Target="https://www.uab.edu/elearning/technology-resources" TargetMode="External"/><Relationship Id="rId4" Type="http://schemas.openxmlformats.org/officeDocument/2006/relationships/settings" Target="settings.xml"/><Relationship Id="rId9" Type="http://schemas.openxmlformats.org/officeDocument/2006/relationships/hyperlink" Target="http://www.uab.edu/blazernet" TargetMode="External"/><Relationship Id="rId14" Type="http://schemas.openxmlformats.org/officeDocument/2006/relationships/hyperlink" Target="https://catalog.uab.edu/undergraduate/progresstowardadegree/" TargetMode="External"/><Relationship Id="rId22" Type="http://schemas.openxmlformats.org/officeDocument/2006/relationships/hyperlink" Target="https://www.uab.edu/students/health/immunizations" TargetMode="External"/><Relationship Id="rId27" Type="http://schemas.openxmlformats.org/officeDocument/2006/relationships/hyperlink" Target="https://www.uab.edu/students/academics/student-success" TargetMode="External"/><Relationship Id="rId30" Type="http://schemas.openxmlformats.org/officeDocument/2006/relationships/hyperlink" Target="mailto:writingcenter@uab.edu" TargetMode="External"/><Relationship Id="rId35" Type="http://schemas.openxmlformats.org/officeDocument/2006/relationships/hyperlink" Target="https://www.uab.edu/students/counseling/our-services" TargetMode="External"/><Relationship Id="rId43" Type="http://schemas.openxmlformats.org/officeDocument/2006/relationships/hyperlink" Target="https://www.uab.edu/elearning/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Huddle</cp:lastModifiedBy>
  <cp:revision>2</cp:revision>
  <dcterms:created xsi:type="dcterms:W3CDTF">2026-02-03T22:37:00Z</dcterms:created>
  <dcterms:modified xsi:type="dcterms:W3CDTF">2026-02-03T22:37:00Z</dcterms:modified>
</cp:coreProperties>
</file>